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6F" w:rsidRDefault="00450881" w:rsidP="001E5DB8">
      <w:pPr>
        <w:pStyle w:val="NoSpacing"/>
        <w:ind w:left="360" w:right="360"/>
        <w:jc w:val="center"/>
        <w:rPr>
          <w:noProof/>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2658110</wp:posOffset>
            </wp:positionH>
            <wp:positionV relativeFrom="paragraph">
              <wp:posOffset>96520</wp:posOffset>
            </wp:positionV>
            <wp:extent cx="1819275" cy="930275"/>
            <wp:effectExtent l="19050" t="0" r="9525" b="0"/>
            <wp:wrapSquare wrapText="bothSides"/>
            <wp:docPr id="2" name="Picture 2" descr="PreparednessCompetencyMode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arednessCompetencyModel-sm"/>
                    <pic:cNvPicPr>
                      <a:picLocks noChangeAspect="1" noChangeArrowheads="1"/>
                    </pic:cNvPicPr>
                  </pic:nvPicPr>
                  <pic:blipFill>
                    <a:blip r:embed="rId8" cstate="print"/>
                    <a:srcRect/>
                    <a:stretch>
                      <a:fillRect/>
                    </a:stretch>
                  </pic:blipFill>
                  <pic:spPr bwMode="auto">
                    <a:xfrm>
                      <a:off x="0" y="0"/>
                      <a:ext cx="1819275" cy="930275"/>
                    </a:xfrm>
                    <a:prstGeom prst="rect">
                      <a:avLst/>
                    </a:prstGeom>
                    <a:noFill/>
                    <a:ln w="9525">
                      <a:noFill/>
                      <a:miter lim="800000"/>
                      <a:headEnd/>
                      <a:tailEnd/>
                    </a:ln>
                  </pic:spPr>
                </pic:pic>
              </a:graphicData>
            </a:graphic>
          </wp:anchor>
        </w:drawing>
      </w:r>
    </w:p>
    <w:p w:rsidR="001E5DB8" w:rsidRPr="00886D2B" w:rsidRDefault="001E5DB8" w:rsidP="001E5DB8">
      <w:pPr>
        <w:pStyle w:val="NoSpacing"/>
        <w:ind w:left="360" w:right="360"/>
        <w:jc w:val="center"/>
        <w:rPr>
          <w:rFonts w:cs="Calibri"/>
          <w:sz w:val="24"/>
          <w:szCs w:val="24"/>
        </w:rPr>
      </w:pPr>
    </w:p>
    <w:p w:rsidR="003A2842" w:rsidRPr="009B3E1E" w:rsidRDefault="003A2842" w:rsidP="001E5DB8">
      <w:pPr>
        <w:pStyle w:val="NoSpacing"/>
        <w:ind w:left="360" w:right="360"/>
        <w:rPr>
          <w:rFonts w:cs="Calibri"/>
          <w:sz w:val="16"/>
          <w:szCs w:val="16"/>
        </w:rPr>
      </w:pPr>
    </w:p>
    <w:p w:rsidR="00704437" w:rsidRDefault="00704437" w:rsidP="001E5DB8">
      <w:pPr>
        <w:pStyle w:val="NoSpacing"/>
        <w:ind w:left="360" w:right="360"/>
        <w:rPr>
          <w:rFonts w:cs="Calibri"/>
          <w:b/>
          <w:bCs/>
          <w:sz w:val="24"/>
          <w:szCs w:val="24"/>
        </w:rPr>
      </w:pPr>
    </w:p>
    <w:p w:rsidR="00704437" w:rsidRDefault="00704437" w:rsidP="001E5DB8">
      <w:pPr>
        <w:pStyle w:val="NoSpacing"/>
        <w:ind w:left="360" w:right="360"/>
        <w:rPr>
          <w:rFonts w:cs="Calibri"/>
          <w:b/>
          <w:bCs/>
          <w:sz w:val="24"/>
          <w:szCs w:val="24"/>
        </w:rPr>
      </w:pPr>
    </w:p>
    <w:p w:rsidR="00704437" w:rsidRDefault="00704437" w:rsidP="001E5DB8">
      <w:pPr>
        <w:pStyle w:val="NoSpacing"/>
        <w:ind w:left="360" w:right="360"/>
        <w:rPr>
          <w:rFonts w:cs="Calibri"/>
          <w:b/>
          <w:bCs/>
          <w:sz w:val="24"/>
          <w:szCs w:val="24"/>
        </w:rPr>
      </w:pPr>
    </w:p>
    <w:p w:rsidR="00004C7E" w:rsidRPr="008B724A" w:rsidRDefault="00004C7E" w:rsidP="001E5DB8">
      <w:pPr>
        <w:pStyle w:val="NoSpacing"/>
        <w:ind w:left="360" w:right="360"/>
        <w:rPr>
          <w:rFonts w:cs="Calibri"/>
          <w:b/>
          <w:sz w:val="24"/>
          <w:szCs w:val="24"/>
          <w:vertAlign w:val="superscript"/>
        </w:rPr>
      </w:pPr>
      <w:r w:rsidRPr="00192839">
        <w:rPr>
          <w:rFonts w:cs="Calibri"/>
          <w:b/>
          <w:bCs/>
          <w:sz w:val="24"/>
          <w:szCs w:val="24"/>
        </w:rPr>
        <w:t xml:space="preserve">Performance Goal:  </w:t>
      </w:r>
      <w:r w:rsidRPr="00192839">
        <w:rPr>
          <w:rFonts w:cs="Calibri"/>
          <w:sz w:val="24"/>
          <w:szCs w:val="24"/>
        </w:rPr>
        <w:t>P</w:t>
      </w:r>
      <w:r w:rsidR="00192839" w:rsidRPr="00192839">
        <w:rPr>
          <w:rFonts w:cs="Calibri"/>
          <w:sz w:val="24"/>
          <w:szCs w:val="24"/>
        </w:rPr>
        <w:t>roficiently p</w:t>
      </w:r>
      <w:r w:rsidRPr="00192839">
        <w:rPr>
          <w:rFonts w:cs="Calibri"/>
          <w:sz w:val="24"/>
          <w:szCs w:val="24"/>
        </w:rPr>
        <w:t xml:space="preserve">erform assigned prevention, preparedness, response, and recovery role(s) in accordance with established </w:t>
      </w:r>
      <w:r w:rsidR="00192839" w:rsidRPr="00192839">
        <w:rPr>
          <w:rFonts w:cs="Calibri"/>
          <w:sz w:val="24"/>
          <w:szCs w:val="24"/>
        </w:rPr>
        <w:t xml:space="preserve">national, state, and local </w:t>
      </w:r>
      <w:r w:rsidR="000E4358">
        <w:rPr>
          <w:rFonts w:cs="Calibri"/>
          <w:sz w:val="24"/>
          <w:szCs w:val="24"/>
        </w:rPr>
        <w:t xml:space="preserve">health security and public health </w:t>
      </w:r>
      <w:r w:rsidRPr="00192839">
        <w:rPr>
          <w:rFonts w:cs="Calibri"/>
          <w:sz w:val="24"/>
          <w:szCs w:val="24"/>
        </w:rPr>
        <w:t>polic</w:t>
      </w:r>
      <w:r w:rsidR="00192839" w:rsidRPr="00192839">
        <w:rPr>
          <w:rFonts w:cs="Calibri"/>
          <w:sz w:val="24"/>
          <w:szCs w:val="24"/>
        </w:rPr>
        <w:t>ies</w:t>
      </w:r>
      <w:r w:rsidRPr="00192839">
        <w:rPr>
          <w:rFonts w:cs="Calibri"/>
          <w:sz w:val="24"/>
          <w:szCs w:val="24"/>
        </w:rPr>
        <w:t>, laws, and systems</w:t>
      </w:r>
      <w:r w:rsidR="000E4358">
        <w:rPr>
          <w:rFonts w:cs="Calibri"/>
          <w:sz w:val="24"/>
          <w:szCs w:val="24"/>
        </w:rPr>
        <w:t>.</w:t>
      </w:r>
    </w:p>
    <w:p w:rsidR="00AD03D5" w:rsidRPr="00AD03D5" w:rsidRDefault="00AD03D5" w:rsidP="00AD03D5">
      <w:pPr>
        <w:spacing w:after="0" w:line="240" w:lineRule="auto"/>
        <w:ind w:left="907"/>
        <w:rPr>
          <w:rFonts w:cs="Tahoma"/>
        </w:rPr>
      </w:pPr>
      <w:r w:rsidRPr="00AD03D5">
        <w:rPr>
          <w:rFonts w:cs="Tahoma"/>
        </w:rPr>
        <w:t xml:space="preserve">Much of an individual worker’s </w:t>
      </w:r>
      <w:r w:rsidR="00F7131E" w:rsidRPr="00AD03D5">
        <w:rPr>
          <w:rFonts w:cs="Tahoma"/>
        </w:rPr>
        <w:t>ability to meet th</w:t>
      </w:r>
      <w:r w:rsidRPr="00AD03D5">
        <w:rPr>
          <w:rFonts w:cs="Tahoma"/>
        </w:rPr>
        <w:t>is</w:t>
      </w:r>
      <w:r w:rsidR="00F7131E" w:rsidRPr="00AD03D5">
        <w:rPr>
          <w:rFonts w:cs="Tahoma"/>
        </w:rPr>
        <w:t xml:space="preserve"> </w:t>
      </w:r>
      <w:r w:rsidRPr="00AD03D5">
        <w:rPr>
          <w:rFonts w:cs="Tahoma"/>
        </w:rPr>
        <w:t>performance goal</w:t>
      </w:r>
      <w:r w:rsidR="00F7131E" w:rsidRPr="00AD03D5">
        <w:rPr>
          <w:rFonts w:cs="Tahoma"/>
        </w:rPr>
        <w:t xml:space="preserve"> </w:t>
      </w:r>
      <w:r w:rsidRPr="00AD03D5">
        <w:rPr>
          <w:rFonts w:cs="Tahoma"/>
        </w:rPr>
        <w:t>is grounded in</w:t>
      </w:r>
      <w:r w:rsidR="00F7131E" w:rsidRPr="00AD03D5">
        <w:rPr>
          <w:rFonts w:cs="Tahoma"/>
        </w:rPr>
        <w:t xml:space="preserve"> </w:t>
      </w:r>
      <w:r w:rsidRPr="00AD03D5">
        <w:rPr>
          <w:rFonts w:cs="Tahoma"/>
        </w:rPr>
        <w:t>c</w:t>
      </w:r>
      <w:r w:rsidR="00F7131E" w:rsidRPr="00AD03D5">
        <w:rPr>
          <w:rFonts w:cs="Tahoma"/>
        </w:rPr>
        <w:t xml:space="preserve">ompetencies </w:t>
      </w:r>
      <w:r w:rsidRPr="00AD03D5">
        <w:rPr>
          <w:rFonts w:cs="Tahoma"/>
        </w:rPr>
        <w:t>acquired from</w:t>
      </w:r>
      <w:r w:rsidR="00F7131E" w:rsidRPr="00AD03D5">
        <w:rPr>
          <w:rFonts w:cs="Tahoma"/>
        </w:rPr>
        <w:t xml:space="preserve"> </w:t>
      </w:r>
      <w:r w:rsidRPr="00AD03D5">
        <w:rPr>
          <w:rFonts w:cs="Tahoma"/>
        </w:rPr>
        <w:t xml:space="preserve">three sources, </w:t>
      </w:r>
      <w:r w:rsidRPr="004B1B62">
        <w:rPr>
          <w:rFonts w:cs="Tahoma"/>
          <w:u w:val="single"/>
        </w:rPr>
        <w:t xml:space="preserve">as applicable to </w:t>
      </w:r>
      <w:r w:rsidR="00E27325" w:rsidRPr="004B1B62">
        <w:rPr>
          <w:rFonts w:cs="Tahoma"/>
          <w:u w:val="single"/>
        </w:rPr>
        <w:t>the worker’s</w:t>
      </w:r>
      <w:r w:rsidRPr="004B1B62">
        <w:rPr>
          <w:rFonts w:cs="Tahoma"/>
          <w:u w:val="single"/>
        </w:rPr>
        <w:t xml:space="preserve"> level of training and position</w:t>
      </w:r>
      <w:r w:rsidR="00E27325" w:rsidRPr="004B1B62">
        <w:rPr>
          <w:rFonts w:cs="Tahoma"/>
          <w:u w:val="single"/>
        </w:rPr>
        <w:t>/role</w:t>
      </w:r>
      <w:r w:rsidRPr="00AD03D5">
        <w:rPr>
          <w:rFonts w:cs="Tahoma"/>
        </w:rPr>
        <w:t xml:space="preserve">: </w:t>
      </w:r>
    </w:p>
    <w:p w:rsidR="006B0661" w:rsidRDefault="00E27325" w:rsidP="006B0661">
      <w:pPr>
        <w:numPr>
          <w:ilvl w:val="0"/>
          <w:numId w:val="28"/>
        </w:numPr>
        <w:autoSpaceDE w:val="0"/>
        <w:autoSpaceDN w:val="0"/>
        <w:adjustRightInd w:val="0"/>
        <w:spacing w:after="0" w:line="240" w:lineRule="auto"/>
      </w:pPr>
      <w:r w:rsidRPr="006B0661">
        <w:rPr>
          <w:rFonts w:cs="Tahoma"/>
          <w:i/>
        </w:rPr>
        <w:t>F</w:t>
      </w:r>
      <w:r w:rsidR="00AD03D5" w:rsidRPr="006B0661">
        <w:rPr>
          <w:rFonts w:cs="Tahoma"/>
          <w:i/>
        </w:rPr>
        <w:t xml:space="preserve">oundational </w:t>
      </w:r>
      <w:r w:rsidR="00383169">
        <w:rPr>
          <w:rFonts w:cs="Tahoma"/>
          <w:i/>
        </w:rPr>
        <w:t>p</w:t>
      </w:r>
      <w:r w:rsidR="00AD03D5" w:rsidRPr="006B0661">
        <w:rPr>
          <w:rFonts w:cs="Tahoma"/>
          <w:i/>
        </w:rPr>
        <w:t xml:space="preserve">ublic </w:t>
      </w:r>
      <w:r w:rsidR="00383169">
        <w:rPr>
          <w:rFonts w:cs="Tahoma"/>
          <w:i/>
        </w:rPr>
        <w:t>h</w:t>
      </w:r>
      <w:r w:rsidR="00AD03D5" w:rsidRPr="006B0661">
        <w:rPr>
          <w:rFonts w:cs="Tahoma"/>
          <w:i/>
        </w:rPr>
        <w:t xml:space="preserve">ealth </w:t>
      </w:r>
      <w:r w:rsidR="00383169">
        <w:rPr>
          <w:rFonts w:cs="Tahoma"/>
          <w:i/>
        </w:rPr>
        <w:t>c</w:t>
      </w:r>
      <w:r w:rsidR="00AD03D5" w:rsidRPr="006B0661">
        <w:rPr>
          <w:rFonts w:cs="Tahoma"/>
          <w:i/>
        </w:rPr>
        <w:t>ompetencies</w:t>
      </w:r>
      <w:r w:rsidR="00AD03D5" w:rsidRPr="006B0661">
        <w:rPr>
          <w:rFonts w:cs="Tahoma"/>
        </w:rPr>
        <w:t xml:space="preserve">, such as the Council on Linkages </w:t>
      </w:r>
      <w:r w:rsidR="00AD03D5" w:rsidRPr="006B0661">
        <w:t xml:space="preserve">Between Academia and Public Health Practice </w:t>
      </w:r>
      <w:hyperlink r:id="rId9" w:history="1">
        <w:r w:rsidR="00AD03D5" w:rsidRPr="006B0661">
          <w:rPr>
            <w:rStyle w:val="Hyperlink"/>
          </w:rPr>
          <w:t>Core Competencies for Public Health Professionals</w:t>
        </w:r>
      </w:hyperlink>
      <w:r w:rsidR="00AD03D5" w:rsidRPr="006B0661">
        <w:t xml:space="preserve"> and the </w:t>
      </w:r>
      <w:hyperlink r:id="rId10" w:history="1">
        <w:r w:rsidR="00AD03D5" w:rsidRPr="006B0661">
          <w:rPr>
            <w:rStyle w:val="Hyperlink"/>
          </w:rPr>
          <w:t>ASPH Master’s Degree in Public Health Core Competency Model</w:t>
        </w:r>
      </w:hyperlink>
      <w:r w:rsidR="00AD03D5" w:rsidRPr="006B0661">
        <w:t xml:space="preserve"> </w:t>
      </w:r>
      <w:r w:rsidR="000B6FC4">
        <w:t xml:space="preserve"> for those in the target group with specific training in public health</w:t>
      </w:r>
      <w:r w:rsidRPr="006B0661">
        <w:t>;</w:t>
      </w:r>
    </w:p>
    <w:p w:rsidR="006B0661" w:rsidRPr="006B0661" w:rsidRDefault="00E27325" w:rsidP="006B0661">
      <w:pPr>
        <w:numPr>
          <w:ilvl w:val="0"/>
          <w:numId w:val="28"/>
        </w:numPr>
        <w:autoSpaceDE w:val="0"/>
        <w:autoSpaceDN w:val="0"/>
        <w:adjustRightInd w:val="0"/>
        <w:spacing w:after="0" w:line="240" w:lineRule="auto"/>
      </w:pPr>
      <w:r w:rsidRPr="006B0661">
        <w:rPr>
          <w:i/>
        </w:rPr>
        <w:t xml:space="preserve">Generic </w:t>
      </w:r>
      <w:r w:rsidR="00383169">
        <w:rPr>
          <w:i/>
        </w:rPr>
        <w:t>h</w:t>
      </w:r>
      <w:r w:rsidRPr="006B0661">
        <w:rPr>
          <w:i/>
        </w:rPr>
        <w:t xml:space="preserve">ealth </w:t>
      </w:r>
      <w:r w:rsidR="00383169">
        <w:rPr>
          <w:i/>
        </w:rPr>
        <w:t>s</w:t>
      </w:r>
      <w:r w:rsidRPr="006B0661">
        <w:rPr>
          <w:i/>
        </w:rPr>
        <w:t xml:space="preserve">ecurity or </w:t>
      </w:r>
      <w:r w:rsidR="00383169">
        <w:rPr>
          <w:i/>
        </w:rPr>
        <w:t>e</w:t>
      </w:r>
      <w:r w:rsidRPr="006B0661">
        <w:rPr>
          <w:i/>
        </w:rPr>
        <w:t xml:space="preserve">mergency </w:t>
      </w:r>
      <w:r w:rsidR="00383169">
        <w:rPr>
          <w:i/>
        </w:rPr>
        <w:t>c</w:t>
      </w:r>
      <w:r w:rsidRPr="006B0661">
        <w:rPr>
          <w:i/>
        </w:rPr>
        <w:t xml:space="preserve">ore </w:t>
      </w:r>
      <w:r w:rsidR="00383169">
        <w:rPr>
          <w:i/>
        </w:rPr>
        <w:t>c</w:t>
      </w:r>
      <w:r w:rsidRPr="006B0661">
        <w:rPr>
          <w:i/>
        </w:rPr>
        <w:t>ompetencies</w:t>
      </w:r>
      <w:r w:rsidRPr="006B0661">
        <w:t xml:space="preserve">, such as those which may stem from </w:t>
      </w:r>
      <w:hyperlink r:id="rId11" w:history="1">
        <w:r w:rsidRPr="006B0661">
          <w:rPr>
            <w:rStyle w:val="Hyperlink"/>
          </w:rPr>
          <w:t>NIMS courses</w:t>
        </w:r>
      </w:hyperlink>
      <w:r w:rsidR="002B37D2">
        <w:rPr>
          <w:rFonts w:cs="Lucida Sans Unicode"/>
          <w:color w:val="000000"/>
        </w:rPr>
        <w:t xml:space="preserve"> </w:t>
      </w:r>
      <w:r w:rsidR="00E710EE">
        <w:rPr>
          <w:color w:val="000000"/>
        </w:rPr>
        <w:t>or competency sets</w:t>
      </w:r>
      <w:r w:rsidRPr="002B37D2">
        <w:rPr>
          <w:color w:val="000000"/>
        </w:rPr>
        <w:t xml:space="preserve"> pending from various</w:t>
      </w:r>
      <w:r w:rsidRPr="006B0661">
        <w:t xml:space="preserve"> national initiatives; and,</w:t>
      </w:r>
    </w:p>
    <w:p w:rsidR="00E27325" w:rsidRPr="006B0661" w:rsidRDefault="00E27325" w:rsidP="006B0661">
      <w:pPr>
        <w:numPr>
          <w:ilvl w:val="0"/>
          <w:numId w:val="28"/>
        </w:numPr>
        <w:autoSpaceDE w:val="0"/>
        <w:autoSpaceDN w:val="0"/>
        <w:adjustRightInd w:val="0"/>
        <w:spacing w:after="0" w:line="240" w:lineRule="auto"/>
      </w:pPr>
      <w:r w:rsidRPr="006B0661">
        <w:rPr>
          <w:i/>
        </w:rPr>
        <w:t xml:space="preserve">Position-specific or </w:t>
      </w:r>
      <w:r w:rsidR="00383169">
        <w:rPr>
          <w:i/>
        </w:rPr>
        <w:t>p</w:t>
      </w:r>
      <w:r w:rsidRPr="006B0661">
        <w:rPr>
          <w:i/>
        </w:rPr>
        <w:t xml:space="preserve">rofessional </w:t>
      </w:r>
      <w:r w:rsidR="00383169">
        <w:rPr>
          <w:i/>
        </w:rPr>
        <w:t>c</w:t>
      </w:r>
      <w:r w:rsidRPr="006B0661">
        <w:rPr>
          <w:i/>
        </w:rPr>
        <w:t>ompetencies</w:t>
      </w:r>
      <w:r w:rsidRPr="006B0661">
        <w:t>, such as those developed for</w:t>
      </w:r>
      <w:r w:rsidR="000B6FC4">
        <w:t xml:space="preserve"> </w:t>
      </w:r>
      <w:hyperlink r:id="rId12" w:history="1">
        <w:r w:rsidR="000B6FC4" w:rsidRPr="000B6FC4">
          <w:rPr>
            <w:rStyle w:val="Hyperlink"/>
          </w:rPr>
          <w:t>public health nursing</w:t>
        </w:r>
      </w:hyperlink>
      <w:r w:rsidR="000B6FC4">
        <w:t xml:space="preserve">, </w:t>
      </w:r>
      <w:hyperlink r:id="rId13" w:history="1">
        <w:r w:rsidR="000B6FC4" w:rsidRPr="000B6FC4">
          <w:rPr>
            <w:rStyle w:val="Hyperlink"/>
          </w:rPr>
          <w:t>environmental health</w:t>
        </w:r>
      </w:hyperlink>
      <w:r w:rsidR="000B6FC4">
        <w:t xml:space="preserve">, </w:t>
      </w:r>
      <w:hyperlink r:id="rId14" w:history="1">
        <w:r w:rsidR="000B6FC4" w:rsidRPr="000B6FC4">
          <w:rPr>
            <w:rStyle w:val="Hyperlink"/>
          </w:rPr>
          <w:t>public health law</w:t>
        </w:r>
      </w:hyperlink>
      <w:r w:rsidR="000B6FC4">
        <w:t>,</w:t>
      </w:r>
      <w:r w:rsidRPr="006B0661">
        <w:t xml:space="preserve"> </w:t>
      </w:r>
      <w:hyperlink r:id="rId15" w:history="1">
        <w:r w:rsidRPr="006B0661">
          <w:rPr>
            <w:rStyle w:val="Hyperlink"/>
          </w:rPr>
          <w:t>applied epidemiology</w:t>
        </w:r>
      </w:hyperlink>
      <w:r w:rsidR="000B6FC4">
        <w:t>,</w:t>
      </w:r>
      <w:r w:rsidR="004B1B62">
        <w:t xml:space="preserve"> </w:t>
      </w:r>
      <w:hyperlink r:id="rId16" w:history="1">
        <w:r w:rsidR="00177DC4" w:rsidRPr="00177DC4">
          <w:rPr>
            <w:rStyle w:val="Hyperlink"/>
          </w:rPr>
          <w:t>administrative support</w:t>
        </w:r>
      </w:hyperlink>
      <w:r w:rsidR="00177DC4">
        <w:t xml:space="preserve">, </w:t>
      </w:r>
      <w:r w:rsidR="004B1B62">
        <w:t>and</w:t>
      </w:r>
      <w:r w:rsidRPr="006B0661">
        <w:t xml:space="preserve"> </w:t>
      </w:r>
      <w:hyperlink r:id="rId17" w:history="1">
        <w:r w:rsidRPr="006B0661">
          <w:rPr>
            <w:rStyle w:val="Hyperlink"/>
          </w:rPr>
          <w:t>informatics</w:t>
        </w:r>
      </w:hyperlink>
      <w:r w:rsidR="004B1B62">
        <w:t>.</w:t>
      </w:r>
    </w:p>
    <w:p w:rsidR="006E6A53" w:rsidRPr="00192839" w:rsidRDefault="00F7131E" w:rsidP="00E27325">
      <w:pPr>
        <w:pStyle w:val="NoSpacing"/>
        <w:ind w:left="900" w:right="360"/>
      </w:pPr>
      <w:r w:rsidRPr="00192839">
        <w:rPr>
          <w:rFonts w:cs="Tahoma"/>
        </w:rPr>
        <w:t>Beyond these</w:t>
      </w:r>
      <w:r w:rsidR="00E27325">
        <w:rPr>
          <w:rFonts w:cs="Tahoma"/>
        </w:rPr>
        <w:t xml:space="preserve"> sets</w:t>
      </w:r>
      <w:r w:rsidRPr="00192839">
        <w:rPr>
          <w:rFonts w:cs="Tahoma"/>
        </w:rPr>
        <w:t xml:space="preserve">, competencies in </w:t>
      </w:r>
      <w:r w:rsidR="0077646F" w:rsidRPr="00192839">
        <w:rPr>
          <w:rFonts w:cs="Tahoma"/>
        </w:rPr>
        <w:t xml:space="preserve">the following </w:t>
      </w:r>
      <w:r w:rsidR="00E27325">
        <w:rPr>
          <w:rFonts w:cs="Tahoma"/>
        </w:rPr>
        <w:t xml:space="preserve">four domains </w:t>
      </w:r>
      <w:r w:rsidRPr="00192839">
        <w:rPr>
          <w:rFonts w:cs="Tahoma"/>
        </w:rPr>
        <w:t xml:space="preserve">are critical to build and sustain the capacity of public health </w:t>
      </w:r>
      <w:r w:rsidR="00383169">
        <w:rPr>
          <w:rFonts w:cs="Tahoma"/>
        </w:rPr>
        <w:t xml:space="preserve">workers </w:t>
      </w:r>
      <w:r w:rsidRPr="00192839">
        <w:rPr>
          <w:rFonts w:cs="Tahoma"/>
        </w:rPr>
        <w:t xml:space="preserve">to fulfill </w:t>
      </w:r>
      <w:r w:rsidR="00383169">
        <w:rPr>
          <w:rFonts w:cs="Tahoma"/>
        </w:rPr>
        <w:t>their</w:t>
      </w:r>
      <w:r w:rsidRPr="00192839">
        <w:rPr>
          <w:rFonts w:cs="Tahoma"/>
        </w:rPr>
        <w:t xml:space="preserve"> responsibilities: </w:t>
      </w:r>
    </w:p>
    <w:p w:rsidR="005B64A4" w:rsidRPr="009B3E1E" w:rsidRDefault="005B64A4" w:rsidP="001E5DB8">
      <w:pPr>
        <w:pStyle w:val="NoSpacing"/>
        <w:ind w:left="360" w:right="360"/>
        <w:rPr>
          <w:sz w:val="16"/>
          <w:szCs w:val="16"/>
        </w:rPr>
      </w:pPr>
    </w:p>
    <w:p w:rsidR="00131D17" w:rsidRPr="00192839" w:rsidRDefault="00BA4301" w:rsidP="009A584C">
      <w:pPr>
        <w:pStyle w:val="NoSpacing"/>
        <w:ind w:left="810" w:right="360" w:hanging="450"/>
        <w:rPr>
          <w:b/>
          <w:sz w:val="24"/>
          <w:szCs w:val="24"/>
        </w:rPr>
      </w:pPr>
      <w:r>
        <w:rPr>
          <w:b/>
          <w:sz w:val="24"/>
          <w:szCs w:val="24"/>
        </w:rPr>
        <w:t xml:space="preserve">1. </w:t>
      </w:r>
      <w:r w:rsidR="00131D17" w:rsidRPr="00192839">
        <w:rPr>
          <w:b/>
          <w:sz w:val="24"/>
          <w:szCs w:val="24"/>
        </w:rPr>
        <w:t>Model Leadership</w:t>
      </w:r>
    </w:p>
    <w:p w:rsidR="00BC4F47" w:rsidRDefault="00F7131E" w:rsidP="009A584C">
      <w:pPr>
        <w:pStyle w:val="NoSpacing"/>
        <w:ind w:left="810" w:right="360" w:hanging="450"/>
        <w:rPr>
          <w:rFonts w:cs="Tahoma"/>
          <w:sz w:val="24"/>
          <w:szCs w:val="24"/>
        </w:rPr>
      </w:pPr>
      <w:r w:rsidRPr="00192839">
        <w:rPr>
          <w:rFonts w:cs="Tahoma"/>
          <w:sz w:val="24"/>
          <w:szCs w:val="24"/>
        </w:rPr>
        <w:t>1</w:t>
      </w:r>
      <w:r w:rsidR="00BA4301">
        <w:rPr>
          <w:rFonts w:cs="Tahoma"/>
          <w:sz w:val="24"/>
          <w:szCs w:val="24"/>
        </w:rPr>
        <w:t>.1</w:t>
      </w:r>
      <w:r w:rsidR="00D3139E" w:rsidRPr="00192839">
        <w:rPr>
          <w:rFonts w:cs="Tahoma"/>
          <w:sz w:val="24"/>
          <w:szCs w:val="24"/>
        </w:rPr>
        <w:t xml:space="preserve">  </w:t>
      </w:r>
      <w:r w:rsidR="00B4484B" w:rsidRPr="00192839">
        <w:rPr>
          <w:rFonts w:cs="Tahoma"/>
          <w:sz w:val="24"/>
          <w:szCs w:val="24"/>
        </w:rPr>
        <w:t>Solve problems under emergency conditions.</w:t>
      </w:r>
    </w:p>
    <w:p w:rsidR="00BC4F47" w:rsidRDefault="00BA4301" w:rsidP="009A584C">
      <w:pPr>
        <w:pStyle w:val="NoSpacing"/>
        <w:ind w:left="810" w:right="360" w:hanging="450"/>
        <w:rPr>
          <w:sz w:val="24"/>
          <w:szCs w:val="24"/>
        </w:rPr>
      </w:pPr>
      <w:r>
        <w:rPr>
          <w:rFonts w:cs="Tahoma"/>
          <w:sz w:val="24"/>
          <w:szCs w:val="24"/>
        </w:rPr>
        <w:t>1.2</w:t>
      </w:r>
      <w:r w:rsidR="005B64A4" w:rsidRPr="00192839">
        <w:rPr>
          <w:rFonts w:cs="Tahoma"/>
          <w:sz w:val="24"/>
          <w:szCs w:val="24"/>
        </w:rPr>
        <w:t xml:space="preserve">  </w:t>
      </w:r>
      <w:r w:rsidR="00004C7E" w:rsidRPr="00192839">
        <w:rPr>
          <w:sz w:val="24"/>
          <w:szCs w:val="24"/>
        </w:rPr>
        <w:t>Manage behaviors associated with emotional responses in self and others</w:t>
      </w:r>
      <w:r w:rsidR="00874F21" w:rsidRPr="00192839">
        <w:rPr>
          <w:sz w:val="24"/>
          <w:szCs w:val="24"/>
        </w:rPr>
        <w:t>.</w:t>
      </w:r>
    </w:p>
    <w:p w:rsidR="005B64A4" w:rsidRPr="00192839" w:rsidRDefault="00BA4301" w:rsidP="009A584C">
      <w:pPr>
        <w:pStyle w:val="NoSpacing"/>
        <w:ind w:left="810" w:right="360" w:hanging="450"/>
        <w:rPr>
          <w:sz w:val="24"/>
          <w:szCs w:val="24"/>
        </w:rPr>
      </w:pPr>
      <w:r>
        <w:rPr>
          <w:sz w:val="24"/>
          <w:szCs w:val="24"/>
        </w:rPr>
        <w:t>1.</w:t>
      </w:r>
      <w:r w:rsidR="00F7131E" w:rsidRPr="00192839">
        <w:rPr>
          <w:sz w:val="24"/>
          <w:szCs w:val="24"/>
        </w:rPr>
        <w:t>3</w:t>
      </w:r>
      <w:r w:rsidR="005B64A4" w:rsidRPr="00192839">
        <w:rPr>
          <w:sz w:val="24"/>
          <w:szCs w:val="24"/>
        </w:rPr>
        <w:t xml:space="preserve">  </w:t>
      </w:r>
      <w:r w:rsidR="00B4484B" w:rsidRPr="00192839">
        <w:rPr>
          <w:rFonts w:cs="Tahoma"/>
          <w:sz w:val="24"/>
          <w:szCs w:val="24"/>
        </w:rPr>
        <w:t xml:space="preserve">Facilitate collaboration with internal and external </w:t>
      </w:r>
      <w:r w:rsidR="00F7131E" w:rsidRPr="00192839">
        <w:rPr>
          <w:rFonts w:cs="Tahoma"/>
          <w:sz w:val="24"/>
          <w:szCs w:val="24"/>
        </w:rPr>
        <w:t xml:space="preserve">emergency response </w:t>
      </w:r>
      <w:r w:rsidR="00B4484B" w:rsidRPr="00192839">
        <w:rPr>
          <w:rFonts w:cs="Tahoma"/>
          <w:sz w:val="24"/>
          <w:szCs w:val="24"/>
        </w:rPr>
        <w:t>partners.</w:t>
      </w:r>
    </w:p>
    <w:p w:rsidR="005B64A4" w:rsidRPr="00192839" w:rsidRDefault="00BA4301" w:rsidP="009A584C">
      <w:pPr>
        <w:pStyle w:val="NoSpacing"/>
        <w:ind w:left="810" w:right="360" w:hanging="450"/>
        <w:rPr>
          <w:sz w:val="24"/>
          <w:szCs w:val="24"/>
        </w:rPr>
      </w:pPr>
      <w:r>
        <w:rPr>
          <w:sz w:val="24"/>
          <w:szCs w:val="24"/>
        </w:rPr>
        <w:t>1.</w:t>
      </w:r>
      <w:r w:rsidR="00F7131E" w:rsidRPr="00192839">
        <w:rPr>
          <w:sz w:val="24"/>
          <w:szCs w:val="24"/>
        </w:rPr>
        <w:t>4</w:t>
      </w:r>
      <w:r w:rsidR="005B64A4" w:rsidRPr="00192839">
        <w:rPr>
          <w:sz w:val="24"/>
          <w:szCs w:val="24"/>
        </w:rPr>
        <w:t xml:space="preserve">  </w:t>
      </w:r>
      <w:r w:rsidR="00B4484B" w:rsidRPr="00192839">
        <w:rPr>
          <w:sz w:val="24"/>
          <w:szCs w:val="24"/>
        </w:rPr>
        <w:t>Maintain situational awareness.</w:t>
      </w:r>
    </w:p>
    <w:p w:rsidR="005B64A4" w:rsidRPr="00192839" w:rsidRDefault="00BA4301" w:rsidP="009A584C">
      <w:pPr>
        <w:pStyle w:val="NoSpacing"/>
        <w:ind w:left="810" w:right="360" w:hanging="450"/>
        <w:rPr>
          <w:rFonts w:cs="Tahoma"/>
          <w:sz w:val="24"/>
          <w:szCs w:val="24"/>
        </w:rPr>
      </w:pPr>
      <w:r>
        <w:rPr>
          <w:sz w:val="24"/>
          <w:szCs w:val="24"/>
        </w:rPr>
        <w:t>1.</w:t>
      </w:r>
      <w:r w:rsidR="00F7131E" w:rsidRPr="00192839">
        <w:rPr>
          <w:sz w:val="24"/>
          <w:szCs w:val="24"/>
        </w:rPr>
        <w:t>5</w:t>
      </w:r>
      <w:r w:rsidR="005B64A4" w:rsidRPr="00192839">
        <w:rPr>
          <w:sz w:val="24"/>
          <w:szCs w:val="24"/>
        </w:rPr>
        <w:t xml:space="preserve">  </w:t>
      </w:r>
      <w:r w:rsidR="00B4484B" w:rsidRPr="00192839">
        <w:rPr>
          <w:rFonts w:cs="Tahoma"/>
          <w:sz w:val="24"/>
          <w:szCs w:val="24"/>
        </w:rPr>
        <w:t>Demonstrate respect for all persons and cultures.</w:t>
      </w:r>
    </w:p>
    <w:p w:rsidR="00F7131E" w:rsidRPr="00192839" w:rsidRDefault="00BA4301" w:rsidP="009A584C">
      <w:pPr>
        <w:pStyle w:val="NoSpacing"/>
        <w:ind w:left="810" w:right="360" w:hanging="450"/>
        <w:rPr>
          <w:sz w:val="24"/>
          <w:szCs w:val="24"/>
        </w:rPr>
      </w:pPr>
      <w:r>
        <w:rPr>
          <w:rFonts w:cs="Tahoma"/>
          <w:sz w:val="24"/>
          <w:szCs w:val="24"/>
        </w:rPr>
        <w:t>1.6</w:t>
      </w:r>
      <w:r w:rsidR="00F7131E" w:rsidRPr="00192839">
        <w:rPr>
          <w:rFonts w:cs="Tahoma"/>
          <w:sz w:val="24"/>
          <w:szCs w:val="24"/>
        </w:rPr>
        <w:t xml:space="preserve">  Act within the scope of one's legal authority.</w:t>
      </w:r>
    </w:p>
    <w:p w:rsidR="005B64A4" w:rsidRPr="009B3E1E" w:rsidRDefault="005B64A4" w:rsidP="009A584C">
      <w:pPr>
        <w:pStyle w:val="NoSpacing"/>
        <w:ind w:left="810" w:right="360" w:hanging="450"/>
        <w:rPr>
          <w:sz w:val="16"/>
          <w:szCs w:val="16"/>
        </w:rPr>
      </w:pPr>
    </w:p>
    <w:p w:rsidR="00131D17" w:rsidRPr="00192839" w:rsidRDefault="00BA4301" w:rsidP="009A584C">
      <w:pPr>
        <w:pStyle w:val="NoSpacing"/>
        <w:ind w:left="810" w:right="360" w:hanging="450"/>
        <w:rPr>
          <w:b/>
          <w:sz w:val="24"/>
          <w:szCs w:val="24"/>
        </w:rPr>
      </w:pPr>
      <w:r>
        <w:rPr>
          <w:rFonts w:cs="Tahoma"/>
          <w:b/>
          <w:sz w:val="24"/>
          <w:szCs w:val="24"/>
        </w:rPr>
        <w:t xml:space="preserve">2.  </w:t>
      </w:r>
      <w:r w:rsidR="00B25F22">
        <w:rPr>
          <w:rFonts w:cs="Tahoma"/>
          <w:b/>
          <w:sz w:val="24"/>
          <w:szCs w:val="24"/>
        </w:rPr>
        <w:t xml:space="preserve">Communicate and Manage </w:t>
      </w:r>
      <w:r w:rsidR="00B25F22" w:rsidRPr="00192839">
        <w:rPr>
          <w:rFonts w:cs="Tahoma"/>
          <w:b/>
          <w:sz w:val="24"/>
          <w:szCs w:val="24"/>
        </w:rPr>
        <w:t>Information</w:t>
      </w:r>
    </w:p>
    <w:p w:rsidR="005B64A4" w:rsidRPr="00192839" w:rsidRDefault="00BA4301" w:rsidP="009A584C">
      <w:pPr>
        <w:pStyle w:val="NoSpacing"/>
        <w:ind w:left="810" w:right="360" w:hanging="450"/>
        <w:rPr>
          <w:rFonts w:cs="Tahoma"/>
          <w:sz w:val="24"/>
          <w:szCs w:val="24"/>
        </w:rPr>
      </w:pPr>
      <w:r>
        <w:rPr>
          <w:rFonts w:cs="Tahoma"/>
          <w:sz w:val="24"/>
          <w:szCs w:val="24"/>
        </w:rPr>
        <w:t>2.1</w:t>
      </w:r>
      <w:r w:rsidR="005B64A4" w:rsidRPr="00192839">
        <w:rPr>
          <w:rFonts w:cs="Tahoma"/>
          <w:sz w:val="24"/>
          <w:szCs w:val="24"/>
        </w:rPr>
        <w:t xml:space="preserve">  </w:t>
      </w:r>
      <w:r w:rsidR="00B4484B" w:rsidRPr="00192839">
        <w:rPr>
          <w:rFonts w:cs="Tahoma"/>
          <w:sz w:val="24"/>
          <w:szCs w:val="24"/>
        </w:rPr>
        <w:t>Manage information related to an emergency.</w:t>
      </w:r>
    </w:p>
    <w:p w:rsidR="005B64A4" w:rsidRPr="00192839" w:rsidRDefault="00BC4F47" w:rsidP="009A584C">
      <w:pPr>
        <w:pStyle w:val="NoSpacing"/>
        <w:ind w:left="810" w:right="360" w:hanging="450"/>
        <w:rPr>
          <w:rFonts w:cs="Tahoma"/>
          <w:sz w:val="24"/>
          <w:szCs w:val="24"/>
        </w:rPr>
      </w:pPr>
      <w:r>
        <w:rPr>
          <w:rFonts w:cs="Tahoma"/>
          <w:sz w:val="24"/>
          <w:szCs w:val="24"/>
        </w:rPr>
        <w:t>2.2</w:t>
      </w:r>
      <w:r w:rsidR="005B64A4" w:rsidRPr="00192839">
        <w:rPr>
          <w:rFonts w:cs="Tahoma"/>
          <w:sz w:val="24"/>
          <w:szCs w:val="24"/>
        </w:rPr>
        <w:t xml:space="preserve">  </w:t>
      </w:r>
      <w:r w:rsidR="00AA449C" w:rsidRPr="00192839">
        <w:rPr>
          <w:rFonts w:cs="Tahoma"/>
          <w:sz w:val="24"/>
          <w:szCs w:val="24"/>
        </w:rPr>
        <w:t>Use</w:t>
      </w:r>
      <w:r w:rsidR="00B4484B" w:rsidRPr="00192839">
        <w:rPr>
          <w:rFonts w:cs="Tahoma"/>
          <w:sz w:val="24"/>
          <w:szCs w:val="24"/>
        </w:rPr>
        <w:t xml:space="preserve"> principles of crisis and risk communication.</w:t>
      </w:r>
    </w:p>
    <w:p w:rsidR="005B64A4" w:rsidRPr="00192839" w:rsidRDefault="00BC4F47" w:rsidP="009A584C">
      <w:pPr>
        <w:pStyle w:val="NoSpacing"/>
        <w:ind w:left="810" w:right="360" w:hanging="450"/>
        <w:rPr>
          <w:rFonts w:cs="Tahoma"/>
          <w:sz w:val="24"/>
          <w:szCs w:val="24"/>
        </w:rPr>
      </w:pPr>
      <w:r>
        <w:rPr>
          <w:rFonts w:cs="Tahoma"/>
          <w:sz w:val="24"/>
          <w:szCs w:val="24"/>
        </w:rPr>
        <w:t>2.3</w:t>
      </w:r>
      <w:r w:rsidR="005B64A4" w:rsidRPr="00192839">
        <w:rPr>
          <w:rFonts w:cs="Tahoma"/>
          <w:sz w:val="24"/>
          <w:szCs w:val="24"/>
        </w:rPr>
        <w:t xml:space="preserve">  </w:t>
      </w:r>
      <w:r w:rsidR="00B4484B" w:rsidRPr="00192839">
        <w:rPr>
          <w:rFonts w:cs="Tahoma"/>
          <w:sz w:val="24"/>
          <w:szCs w:val="24"/>
        </w:rPr>
        <w:t>Report information potentially relevant to the identification and control of an emergency through the chain of command.</w:t>
      </w:r>
    </w:p>
    <w:p w:rsidR="005B64A4" w:rsidRPr="00192839" w:rsidRDefault="00BC4F47" w:rsidP="009A584C">
      <w:pPr>
        <w:pStyle w:val="NoSpacing"/>
        <w:ind w:left="810" w:right="360" w:hanging="450"/>
        <w:rPr>
          <w:rFonts w:cs="Tahoma"/>
          <w:sz w:val="24"/>
          <w:szCs w:val="24"/>
        </w:rPr>
      </w:pPr>
      <w:r>
        <w:rPr>
          <w:rFonts w:cs="Tahoma"/>
          <w:sz w:val="24"/>
          <w:szCs w:val="24"/>
        </w:rPr>
        <w:t>2.4</w:t>
      </w:r>
      <w:r w:rsidR="005B64A4" w:rsidRPr="00192839">
        <w:rPr>
          <w:rFonts w:cs="Tahoma"/>
          <w:sz w:val="24"/>
          <w:szCs w:val="24"/>
        </w:rPr>
        <w:t xml:space="preserve"> </w:t>
      </w:r>
      <w:r w:rsidR="00515D02">
        <w:rPr>
          <w:rFonts w:cs="Tahoma"/>
          <w:sz w:val="24"/>
          <w:szCs w:val="24"/>
        </w:rPr>
        <w:t xml:space="preserve"> </w:t>
      </w:r>
      <w:r w:rsidR="00B4484B" w:rsidRPr="00192839">
        <w:rPr>
          <w:rFonts w:cs="Tahoma"/>
          <w:sz w:val="24"/>
          <w:szCs w:val="24"/>
        </w:rPr>
        <w:t>Collect data according to protocol.</w:t>
      </w:r>
    </w:p>
    <w:p w:rsidR="005B64A4" w:rsidRPr="00192839" w:rsidRDefault="00BC4F47" w:rsidP="009A584C">
      <w:pPr>
        <w:pStyle w:val="NoSpacing"/>
        <w:ind w:left="810" w:right="360" w:hanging="450"/>
        <w:rPr>
          <w:sz w:val="24"/>
          <w:szCs w:val="24"/>
        </w:rPr>
      </w:pPr>
      <w:r>
        <w:rPr>
          <w:rFonts w:cs="Tahoma"/>
          <w:sz w:val="24"/>
          <w:szCs w:val="24"/>
        </w:rPr>
        <w:t>2.5</w:t>
      </w:r>
      <w:r w:rsidR="005B64A4" w:rsidRPr="00192839">
        <w:rPr>
          <w:rFonts w:cs="Tahoma"/>
          <w:sz w:val="24"/>
          <w:szCs w:val="24"/>
        </w:rPr>
        <w:t xml:space="preserve"> </w:t>
      </w:r>
      <w:r w:rsidR="00515D02">
        <w:rPr>
          <w:rFonts w:cs="Tahoma"/>
          <w:sz w:val="24"/>
          <w:szCs w:val="24"/>
        </w:rPr>
        <w:t xml:space="preserve"> </w:t>
      </w:r>
      <w:r w:rsidR="00B4484B" w:rsidRPr="00192839">
        <w:rPr>
          <w:rFonts w:cs="Tahoma"/>
          <w:sz w:val="24"/>
          <w:szCs w:val="24"/>
        </w:rPr>
        <w:t>Manage the recording and/or transcription of data according to protocol.</w:t>
      </w:r>
    </w:p>
    <w:p w:rsidR="005B64A4" w:rsidRPr="009B3E1E" w:rsidRDefault="005B64A4" w:rsidP="009A584C">
      <w:pPr>
        <w:pStyle w:val="NoSpacing"/>
        <w:ind w:left="810" w:right="360" w:hanging="450"/>
        <w:rPr>
          <w:sz w:val="16"/>
          <w:szCs w:val="16"/>
        </w:rPr>
      </w:pPr>
    </w:p>
    <w:p w:rsidR="00131D17" w:rsidRPr="00192839" w:rsidRDefault="00BC4F47" w:rsidP="009A584C">
      <w:pPr>
        <w:pStyle w:val="NoSpacing"/>
        <w:ind w:left="810" w:right="360" w:hanging="450"/>
        <w:rPr>
          <w:b/>
          <w:sz w:val="24"/>
          <w:szCs w:val="24"/>
        </w:rPr>
      </w:pPr>
      <w:r>
        <w:rPr>
          <w:rFonts w:cs="Tahoma"/>
          <w:b/>
          <w:sz w:val="24"/>
          <w:szCs w:val="24"/>
        </w:rPr>
        <w:t xml:space="preserve">3.  </w:t>
      </w:r>
      <w:r w:rsidR="00131D17" w:rsidRPr="00192839">
        <w:rPr>
          <w:rFonts w:cs="Tahoma"/>
          <w:b/>
          <w:sz w:val="24"/>
          <w:szCs w:val="24"/>
        </w:rPr>
        <w:t>Plan</w:t>
      </w:r>
      <w:r w:rsidR="009B00AB" w:rsidRPr="00192839">
        <w:rPr>
          <w:rFonts w:cs="Tahoma"/>
          <w:b/>
          <w:sz w:val="24"/>
          <w:szCs w:val="24"/>
        </w:rPr>
        <w:t xml:space="preserve"> </w:t>
      </w:r>
      <w:r w:rsidR="005B64A4" w:rsidRPr="00192839">
        <w:rPr>
          <w:rFonts w:cs="Tahoma"/>
          <w:b/>
          <w:sz w:val="24"/>
          <w:szCs w:val="24"/>
        </w:rPr>
        <w:t xml:space="preserve">for </w:t>
      </w:r>
      <w:r w:rsidR="009B00AB" w:rsidRPr="00192839">
        <w:rPr>
          <w:rFonts w:cs="Tahoma"/>
          <w:b/>
          <w:sz w:val="24"/>
          <w:szCs w:val="24"/>
        </w:rPr>
        <w:t>and Improv</w:t>
      </w:r>
      <w:r w:rsidR="00B25F22">
        <w:rPr>
          <w:rFonts w:cs="Tahoma"/>
          <w:b/>
          <w:sz w:val="24"/>
          <w:szCs w:val="24"/>
        </w:rPr>
        <w:t>e</w:t>
      </w:r>
      <w:r w:rsidR="009B00AB" w:rsidRPr="00192839">
        <w:rPr>
          <w:rFonts w:cs="Tahoma"/>
          <w:b/>
          <w:sz w:val="24"/>
          <w:szCs w:val="24"/>
        </w:rPr>
        <w:t xml:space="preserve"> Practice</w:t>
      </w:r>
    </w:p>
    <w:p w:rsidR="005B64A4" w:rsidRPr="00192839" w:rsidRDefault="00BC4F47" w:rsidP="009A584C">
      <w:pPr>
        <w:pStyle w:val="NoSpacing"/>
        <w:ind w:left="810" w:right="360" w:hanging="450"/>
        <w:rPr>
          <w:rFonts w:cs="Tahoma"/>
          <w:sz w:val="24"/>
          <w:szCs w:val="24"/>
        </w:rPr>
      </w:pPr>
      <w:r>
        <w:rPr>
          <w:rFonts w:cs="Tahoma"/>
          <w:sz w:val="24"/>
          <w:szCs w:val="24"/>
        </w:rPr>
        <w:t>3.1</w:t>
      </w:r>
      <w:r w:rsidR="005B64A4" w:rsidRPr="00192839">
        <w:rPr>
          <w:rFonts w:cs="Tahoma"/>
          <w:sz w:val="24"/>
          <w:szCs w:val="24"/>
        </w:rPr>
        <w:t xml:space="preserve"> </w:t>
      </w:r>
      <w:r w:rsidR="00515D02">
        <w:rPr>
          <w:rFonts w:cs="Tahoma"/>
          <w:sz w:val="24"/>
          <w:szCs w:val="24"/>
        </w:rPr>
        <w:t xml:space="preserve"> </w:t>
      </w:r>
      <w:r w:rsidR="00B4484B" w:rsidRPr="00192839">
        <w:rPr>
          <w:rFonts w:cs="Tahoma"/>
          <w:sz w:val="24"/>
          <w:szCs w:val="24"/>
        </w:rPr>
        <w:t>Contribute expertise to a community hazard vulnerability analysis (HVA).</w:t>
      </w:r>
    </w:p>
    <w:p w:rsidR="005B64A4" w:rsidRPr="00192839" w:rsidRDefault="00BC4F47" w:rsidP="009A584C">
      <w:pPr>
        <w:pStyle w:val="NoSpacing"/>
        <w:ind w:left="810" w:right="360" w:hanging="450"/>
        <w:rPr>
          <w:rFonts w:cs="Tahoma"/>
          <w:sz w:val="24"/>
          <w:szCs w:val="24"/>
        </w:rPr>
      </w:pPr>
      <w:r>
        <w:rPr>
          <w:rFonts w:cs="Tahoma"/>
          <w:sz w:val="24"/>
          <w:szCs w:val="24"/>
        </w:rPr>
        <w:t xml:space="preserve">3.2 </w:t>
      </w:r>
      <w:r w:rsidR="00515D02">
        <w:rPr>
          <w:rFonts w:cs="Tahoma"/>
          <w:sz w:val="24"/>
          <w:szCs w:val="24"/>
        </w:rPr>
        <w:t xml:space="preserve"> </w:t>
      </w:r>
      <w:r w:rsidR="00B4484B" w:rsidRPr="00192839">
        <w:rPr>
          <w:rFonts w:cs="Tahoma"/>
          <w:sz w:val="24"/>
          <w:szCs w:val="24"/>
        </w:rPr>
        <w:t>Contribute expertise to the development of emergency plans.</w:t>
      </w:r>
    </w:p>
    <w:p w:rsidR="009D24F3" w:rsidRPr="00192839" w:rsidRDefault="00BC4F47" w:rsidP="009A584C">
      <w:pPr>
        <w:pStyle w:val="NoSpacing"/>
        <w:ind w:left="810" w:right="360" w:hanging="450"/>
        <w:rPr>
          <w:rFonts w:cs="Tahoma"/>
          <w:sz w:val="24"/>
          <w:szCs w:val="24"/>
        </w:rPr>
      </w:pPr>
      <w:r>
        <w:rPr>
          <w:rFonts w:cs="Tahoma"/>
          <w:sz w:val="24"/>
          <w:szCs w:val="24"/>
        </w:rPr>
        <w:t>3.3</w:t>
      </w:r>
      <w:r w:rsidR="005B64A4" w:rsidRPr="00192839">
        <w:rPr>
          <w:rFonts w:cs="Tahoma"/>
          <w:sz w:val="24"/>
          <w:szCs w:val="24"/>
        </w:rPr>
        <w:t xml:space="preserve"> </w:t>
      </w:r>
      <w:r w:rsidR="00515D02">
        <w:rPr>
          <w:rFonts w:cs="Tahoma"/>
          <w:sz w:val="24"/>
          <w:szCs w:val="24"/>
        </w:rPr>
        <w:t xml:space="preserve"> </w:t>
      </w:r>
      <w:r w:rsidR="00B4484B" w:rsidRPr="00192839">
        <w:rPr>
          <w:rFonts w:cs="Tahoma"/>
          <w:sz w:val="24"/>
          <w:szCs w:val="24"/>
        </w:rPr>
        <w:t>Participate in imp</w:t>
      </w:r>
      <w:r w:rsidR="00F172EE" w:rsidRPr="00192839">
        <w:rPr>
          <w:rFonts w:cs="Tahoma"/>
          <w:sz w:val="24"/>
          <w:szCs w:val="24"/>
        </w:rPr>
        <w:t>roving</w:t>
      </w:r>
      <w:r w:rsidR="00DB3D7A" w:rsidRPr="00192839">
        <w:rPr>
          <w:rFonts w:cs="Tahoma"/>
          <w:sz w:val="24"/>
          <w:szCs w:val="24"/>
        </w:rPr>
        <w:t xml:space="preserve"> the organization’s capacities</w:t>
      </w:r>
      <w:r w:rsidR="000E4358">
        <w:rPr>
          <w:rFonts w:cs="Tahoma"/>
          <w:sz w:val="24"/>
          <w:szCs w:val="24"/>
        </w:rPr>
        <w:t xml:space="preserve"> (</w:t>
      </w:r>
      <w:r w:rsidR="002E5322">
        <w:rPr>
          <w:rFonts w:cs="Tahoma"/>
          <w:sz w:val="24"/>
          <w:szCs w:val="24"/>
        </w:rPr>
        <w:t>i</w:t>
      </w:r>
      <w:r w:rsidR="000E4358">
        <w:rPr>
          <w:rFonts w:cs="Tahoma"/>
          <w:sz w:val="24"/>
          <w:szCs w:val="24"/>
        </w:rPr>
        <w:t xml:space="preserve">ncluding, but not limited to programs, plans, </w:t>
      </w:r>
      <w:r w:rsidR="002E5322">
        <w:rPr>
          <w:rFonts w:cs="Tahoma"/>
          <w:sz w:val="24"/>
          <w:szCs w:val="24"/>
        </w:rPr>
        <w:t xml:space="preserve">policies, </w:t>
      </w:r>
      <w:r w:rsidR="000E4358">
        <w:rPr>
          <w:rFonts w:cs="Tahoma"/>
          <w:sz w:val="24"/>
          <w:szCs w:val="24"/>
        </w:rPr>
        <w:t>laws, and workforce training)</w:t>
      </w:r>
      <w:r w:rsidR="00FE5D02">
        <w:rPr>
          <w:rFonts w:cs="Tahoma"/>
          <w:sz w:val="24"/>
          <w:szCs w:val="24"/>
        </w:rPr>
        <w:t>.</w:t>
      </w:r>
    </w:p>
    <w:p w:rsidR="00B02FE8" w:rsidRPr="00192839" w:rsidRDefault="00BC4F47" w:rsidP="009A584C">
      <w:pPr>
        <w:pStyle w:val="NoSpacing"/>
        <w:ind w:left="810" w:right="360" w:hanging="450"/>
        <w:rPr>
          <w:sz w:val="24"/>
          <w:szCs w:val="24"/>
        </w:rPr>
      </w:pPr>
      <w:r>
        <w:rPr>
          <w:rFonts w:cs="Tahoma"/>
          <w:sz w:val="24"/>
          <w:szCs w:val="24"/>
        </w:rPr>
        <w:t>3.4</w:t>
      </w:r>
      <w:r w:rsidR="009D24F3" w:rsidRPr="00192839">
        <w:rPr>
          <w:rFonts w:cs="Tahoma"/>
          <w:sz w:val="24"/>
          <w:szCs w:val="24"/>
        </w:rPr>
        <w:t xml:space="preserve"> </w:t>
      </w:r>
      <w:r w:rsidR="00515D02">
        <w:rPr>
          <w:rFonts w:cs="Tahoma"/>
          <w:sz w:val="24"/>
          <w:szCs w:val="24"/>
        </w:rPr>
        <w:t xml:space="preserve"> </w:t>
      </w:r>
      <w:r w:rsidR="00B4484B" w:rsidRPr="00192839">
        <w:rPr>
          <w:rFonts w:cs="Tahoma"/>
          <w:sz w:val="24"/>
          <w:szCs w:val="24"/>
        </w:rPr>
        <w:t>Refer matters outside of one's scope of legal authority through the chain of command.</w:t>
      </w:r>
    </w:p>
    <w:p w:rsidR="009D24F3" w:rsidRPr="009B3E1E" w:rsidRDefault="009D24F3" w:rsidP="009A584C">
      <w:pPr>
        <w:pStyle w:val="NoSpacing"/>
        <w:ind w:left="810" w:right="360" w:hanging="450"/>
        <w:rPr>
          <w:rFonts w:cs="Tahoma"/>
          <w:sz w:val="16"/>
          <w:szCs w:val="16"/>
        </w:rPr>
      </w:pPr>
    </w:p>
    <w:p w:rsidR="00131D17" w:rsidRPr="00192839" w:rsidRDefault="00515D02" w:rsidP="009A584C">
      <w:pPr>
        <w:pStyle w:val="NoSpacing"/>
        <w:ind w:left="810" w:right="360" w:hanging="450"/>
        <w:rPr>
          <w:b/>
          <w:sz w:val="24"/>
          <w:szCs w:val="24"/>
        </w:rPr>
      </w:pPr>
      <w:r>
        <w:rPr>
          <w:rFonts w:cs="Tahoma"/>
          <w:b/>
          <w:sz w:val="24"/>
          <w:szCs w:val="24"/>
        </w:rPr>
        <w:t xml:space="preserve">4.  </w:t>
      </w:r>
      <w:r w:rsidR="00131D17" w:rsidRPr="00192839">
        <w:rPr>
          <w:rFonts w:cs="Tahoma"/>
          <w:b/>
          <w:sz w:val="24"/>
          <w:szCs w:val="24"/>
        </w:rPr>
        <w:t xml:space="preserve">Protect </w:t>
      </w:r>
      <w:r w:rsidR="00DB06A5" w:rsidRPr="00192839">
        <w:rPr>
          <w:rFonts w:cs="Tahoma"/>
          <w:b/>
          <w:sz w:val="24"/>
          <w:szCs w:val="24"/>
        </w:rPr>
        <w:t>Worker</w:t>
      </w:r>
      <w:r w:rsidR="009C33F5" w:rsidRPr="00192839">
        <w:rPr>
          <w:rFonts w:cs="Tahoma"/>
          <w:b/>
          <w:sz w:val="24"/>
          <w:szCs w:val="24"/>
        </w:rPr>
        <w:t xml:space="preserve"> </w:t>
      </w:r>
      <w:r w:rsidR="00131D17" w:rsidRPr="00192839">
        <w:rPr>
          <w:rFonts w:cs="Tahoma"/>
          <w:b/>
          <w:sz w:val="24"/>
          <w:szCs w:val="24"/>
        </w:rPr>
        <w:t>Health and Safety</w:t>
      </w:r>
    </w:p>
    <w:p w:rsidR="006A75D3" w:rsidRPr="00192839" w:rsidRDefault="00515D02" w:rsidP="009A584C">
      <w:pPr>
        <w:pStyle w:val="NoSpacing"/>
        <w:ind w:left="810" w:right="360" w:hanging="450"/>
        <w:rPr>
          <w:rFonts w:cs="Tahoma"/>
          <w:sz w:val="24"/>
          <w:szCs w:val="24"/>
        </w:rPr>
      </w:pPr>
      <w:r>
        <w:rPr>
          <w:rFonts w:cs="Tahoma"/>
          <w:sz w:val="24"/>
          <w:szCs w:val="24"/>
        </w:rPr>
        <w:t>4.1</w:t>
      </w:r>
      <w:r w:rsidR="006A75D3" w:rsidRPr="00192839">
        <w:rPr>
          <w:rFonts w:cs="Tahoma"/>
          <w:sz w:val="24"/>
          <w:szCs w:val="24"/>
        </w:rPr>
        <w:t xml:space="preserve"> </w:t>
      </w:r>
      <w:r>
        <w:rPr>
          <w:rFonts w:cs="Tahoma"/>
          <w:sz w:val="24"/>
          <w:szCs w:val="24"/>
        </w:rPr>
        <w:t xml:space="preserve"> </w:t>
      </w:r>
      <w:r w:rsidR="006A75D3" w:rsidRPr="00192839">
        <w:rPr>
          <w:rFonts w:cs="Tahoma"/>
          <w:sz w:val="24"/>
          <w:szCs w:val="24"/>
        </w:rPr>
        <w:t xml:space="preserve">Maintain </w:t>
      </w:r>
      <w:r w:rsidR="00D737A0" w:rsidRPr="00192839">
        <w:rPr>
          <w:rFonts w:cs="Tahoma"/>
          <w:sz w:val="24"/>
          <w:szCs w:val="24"/>
        </w:rPr>
        <w:t>personal/</w:t>
      </w:r>
      <w:r w:rsidR="006A75D3" w:rsidRPr="00192839">
        <w:rPr>
          <w:rFonts w:cs="Tahoma"/>
          <w:sz w:val="24"/>
          <w:szCs w:val="24"/>
        </w:rPr>
        <w:t>family emergency preparedness plans.</w:t>
      </w:r>
    </w:p>
    <w:p w:rsidR="006A75D3" w:rsidRPr="00192839" w:rsidRDefault="00515D02" w:rsidP="009A584C">
      <w:pPr>
        <w:pStyle w:val="NoSpacing"/>
        <w:ind w:left="810" w:right="360" w:hanging="450"/>
        <w:rPr>
          <w:sz w:val="24"/>
          <w:szCs w:val="24"/>
        </w:rPr>
      </w:pPr>
      <w:r>
        <w:rPr>
          <w:rFonts w:cs="Tahoma"/>
          <w:sz w:val="24"/>
          <w:szCs w:val="24"/>
        </w:rPr>
        <w:t xml:space="preserve">4.2 </w:t>
      </w:r>
      <w:r w:rsidR="006A75D3" w:rsidRPr="00192839">
        <w:rPr>
          <w:rFonts w:cs="Tahoma"/>
          <w:sz w:val="24"/>
          <w:szCs w:val="24"/>
        </w:rPr>
        <w:t xml:space="preserve"> </w:t>
      </w:r>
      <w:r w:rsidR="003936AF">
        <w:rPr>
          <w:sz w:val="24"/>
          <w:szCs w:val="24"/>
        </w:rPr>
        <w:t>Employ</w:t>
      </w:r>
      <w:r w:rsidR="00004C7E" w:rsidRPr="00192839">
        <w:rPr>
          <w:sz w:val="24"/>
          <w:szCs w:val="24"/>
        </w:rPr>
        <w:t xml:space="preserve"> </w:t>
      </w:r>
      <w:r w:rsidR="00DB4244" w:rsidRPr="00A2481B">
        <w:rPr>
          <w:sz w:val="24"/>
          <w:szCs w:val="24"/>
        </w:rPr>
        <w:t>protective</w:t>
      </w:r>
      <w:r w:rsidR="00DB4244" w:rsidRPr="00192839">
        <w:rPr>
          <w:sz w:val="24"/>
          <w:szCs w:val="24"/>
        </w:rPr>
        <w:t xml:space="preserve"> </w:t>
      </w:r>
      <w:r w:rsidR="00004C7E" w:rsidRPr="00192839">
        <w:rPr>
          <w:sz w:val="24"/>
          <w:szCs w:val="24"/>
        </w:rPr>
        <w:t>behaviors according to changing conditions, personal limitations, and threats</w:t>
      </w:r>
      <w:r w:rsidR="00B56577" w:rsidRPr="00192839">
        <w:rPr>
          <w:sz w:val="24"/>
          <w:szCs w:val="24"/>
        </w:rPr>
        <w:t>.</w:t>
      </w:r>
    </w:p>
    <w:p w:rsidR="000E4358" w:rsidRDefault="00515D02" w:rsidP="009A584C">
      <w:pPr>
        <w:pStyle w:val="NoSpacing"/>
        <w:ind w:left="810" w:right="360" w:hanging="450"/>
        <w:rPr>
          <w:rFonts w:cs="Tahoma"/>
          <w:sz w:val="24"/>
          <w:szCs w:val="24"/>
        </w:rPr>
      </w:pPr>
      <w:r>
        <w:rPr>
          <w:rFonts w:cs="Tahoma"/>
          <w:sz w:val="24"/>
          <w:szCs w:val="24"/>
        </w:rPr>
        <w:t xml:space="preserve">4.3 </w:t>
      </w:r>
      <w:r w:rsidR="006A75D3" w:rsidRPr="00192839">
        <w:rPr>
          <w:rFonts w:cs="Tahoma"/>
          <w:sz w:val="24"/>
          <w:szCs w:val="24"/>
        </w:rPr>
        <w:t xml:space="preserve"> Report unresolved threats to physical and mental health through the chain of command.</w:t>
      </w:r>
    </w:p>
    <w:p w:rsidR="008539F2" w:rsidRDefault="008539F2" w:rsidP="009A584C">
      <w:pPr>
        <w:pStyle w:val="NoSpacing"/>
        <w:ind w:left="810" w:right="360" w:hanging="450"/>
        <w:rPr>
          <w:rFonts w:cs="Tahoma"/>
          <w:sz w:val="24"/>
          <w:szCs w:val="24"/>
        </w:rPr>
      </w:pPr>
    </w:p>
    <w:p w:rsidR="008539F2" w:rsidRDefault="008539F2" w:rsidP="009A584C">
      <w:pPr>
        <w:pStyle w:val="NoSpacing"/>
        <w:ind w:left="810" w:right="360" w:hanging="450"/>
        <w:rPr>
          <w:rFonts w:cs="Tahoma"/>
          <w:sz w:val="24"/>
          <w:szCs w:val="24"/>
        </w:rPr>
      </w:pPr>
    </w:p>
    <w:p w:rsidR="008539F2" w:rsidRDefault="008539F2" w:rsidP="009A584C">
      <w:pPr>
        <w:pStyle w:val="NoSpacing"/>
        <w:ind w:left="810" w:right="360" w:hanging="450"/>
        <w:rPr>
          <w:rFonts w:cs="Tahoma"/>
          <w:sz w:val="24"/>
          <w:szCs w:val="24"/>
        </w:rPr>
      </w:pPr>
    </w:p>
    <w:p w:rsidR="000562C0" w:rsidRDefault="000562C0" w:rsidP="000562C0">
      <w:pPr>
        <w:pStyle w:val="NoSpacing"/>
        <w:ind w:left="810" w:right="360" w:hanging="450"/>
        <w:rPr>
          <w:sz w:val="24"/>
          <w:szCs w:val="24"/>
        </w:rPr>
      </w:pPr>
      <w:r>
        <w:rPr>
          <w:sz w:val="24"/>
          <w:szCs w:val="24"/>
        </w:rPr>
        <w:br/>
      </w:r>
    </w:p>
    <w:p w:rsidR="000562C0" w:rsidRDefault="000562C0">
      <w:pPr>
        <w:spacing w:after="0" w:line="240" w:lineRule="auto"/>
        <w:rPr>
          <w:sz w:val="24"/>
          <w:szCs w:val="24"/>
        </w:rPr>
      </w:pPr>
      <w:r>
        <w:rPr>
          <w:noProof/>
          <w:sz w:val="24"/>
          <w:szCs w:val="24"/>
        </w:rPr>
        <w:drawing>
          <wp:anchor distT="0" distB="0" distL="114300" distR="114300" simplePos="0" relativeHeight="251658752" behindDoc="0" locked="0" layoutInCell="1" allowOverlap="1">
            <wp:simplePos x="0" y="0"/>
            <wp:positionH relativeFrom="column">
              <wp:posOffset>-869795</wp:posOffset>
            </wp:positionH>
            <wp:positionV relativeFrom="paragraph">
              <wp:posOffset>528940</wp:posOffset>
            </wp:positionV>
            <wp:extent cx="8697951" cy="6732905"/>
            <wp:effectExtent l="0" t="990600" r="0" b="96329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rot="16200000">
                      <a:off x="0" y="0"/>
                      <a:ext cx="8697951" cy="6732905"/>
                    </a:xfrm>
                    <a:prstGeom prst="rect">
                      <a:avLst/>
                    </a:prstGeom>
                    <a:noFill/>
                  </pic:spPr>
                </pic:pic>
              </a:graphicData>
            </a:graphic>
          </wp:anchor>
        </w:drawing>
      </w:r>
      <w:r>
        <w:rPr>
          <w:sz w:val="24"/>
          <w:szCs w:val="24"/>
        </w:rPr>
        <w:br w:type="page"/>
      </w:r>
    </w:p>
    <w:p w:rsidR="0054410E" w:rsidRPr="0055565F" w:rsidRDefault="0054410E" w:rsidP="0054410E">
      <w:pPr>
        <w:spacing w:after="0" w:line="240" w:lineRule="auto"/>
        <w:ind w:left="-90" w:right="-180"/>
        <w:jc w:val="center"/>
        <w:rPr>
          <w:rFonts w:ascii="Arial" w:eastAsia="Times New Roman" w:hAnsi="Arial" w:cs="Arial"/>
          <w:b/>
          <w:sz w:val="28"/>
          <w:szCs w:val="28"/>
        </w:rPr>
      </w:pPr>
      <w:r>
        <w:rPr>
          <w:noProof/>
        </w:rPr>
        <w:lastRenderedPageBreak/>
        <w:drawing>
          <wp:anchor distT="0" distB="0" distL="114300" distR="114300" simplePos="0" relativeHeight="251660800" behindDoc="0" locked="0" layoutInCell="1" allowOverlap="1">
            <wp:simplePos x="0" y="0"/>
            <wp:positionH relativeFrom="column">
              <wp:posOffset>2524125</wp:posOffset>
            </wp:positionH>
            <wp:positionV relativeFrom="paragraph">
              <wp:posOffset>-285750</wp:posOffset>
            </wp:positionV>
            <wp:extent cx="1819275" cy="930275"/>
            <wp:effectExtent l="19050" t="0" r="9525" b="0"/>
            <wp:wrapSquare wrapText="bothSides"/>
            <wp:docPr id="8" name="Picture 4" descr="PreparednessCompetencyMode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rednessCompetencyModel-sm"/>
                    <pic:cNvPicPr>
                      <a:picLocks noChangeAspect="1" noChangeArrowheads="1"/>
                    </pic:cNvPicPr>
                  </pic:nvPicPr>
                  <pic:blipFill>
                    <a:blip r:embed="rId8" cstate="print"/>
                    <a:srcRect/>
                    <a:stretch>
                      <a:fillRect/>
                    </a:stretch>
                  </pic:blipFill>
                  <pic:spPr bwMode="auto">
                    <a:xfrm>
                      <a:off x="0" y="0"/>
                      <a:ext cx="1819275" cy="930275"/>
                    </a:xfrm>
                    <a:prstGeom prst="rect">
                      <a:avLst/>
                    </a:prstGeom>
                    <a:noFill/>
                    <a:ln w="9525">
                      <a:noFill/>
                      <a:miter lim="800000"/>
                      <a:headEnd/>
                      <a:tailEnd/>
                    </a:ln>
                  </pic:spPr>
                </pic:pic>
              </a:graphicData>
            </a:graphic>
          </wp:anchor>
        </w:drawing>
      </w:r>
    </w:p>
    <w:p w:rsidR="0054410E" w:rsidRPr="0055565F" w:rsidRDefault="0054410E" w:rsidP="0054410E">
      <w:pPr>
        <w:spacing w:after="0" w:line="240" w:lineRule="auto"/>
        <w:ind w:left="-90" w:right="-180"/>
        <w:jc w:val="center"/>
        <w:rPr>
          <w:rFonts w:ascii="Arial" w:eastAsia="Times New Roman" w:hAnsi="Arial" w:cs="Arial"/>
          <w:b/>
          <w:sz w:val="28"/>
          <w:szCs w:val="28"/>
        </w:rPr>
      </w:pPr>
    </w:p>
    <w:p w:rsidR="0054410E" w:rsidRPr="0055565F" w:rsidRDefault="0054410E" w:rsidP="0054410E">
      <w:pPr>
        <w:spacing w:after="0" w:line="240" w:lineRule="auto"/>
        <w:ind w:left="-90" w:right="-180"/>
        <w:jc w:val="center"/>
        <w:rPr>
          <w:rFonts w:ascii="Arial" w:eastAsia="Times New Roman" w:hAnsi="Arial" w:cs="Arial"/>
          <w:b/>
          <w:sz w:val="28"/>
          <w:szCs w:val="28"/>
        </w:rPr>
      </w:pPr>
    </w:p>
    <w:p w:rsidR="0054410E" w:rsidRPr="0055565F" w:rsidRDefault="0054410E" w:rsidP="0054410E">
      <w:pPr>
        <w:spacing w:after="0" w:line="240" w:lineRule="auto"/>
        <w:ind w:left="-90" w:right="-180"/>
        <w:jc w:val="center"/>
        <w:rPr>
          <w:rFonts w:ascii="Arial" w:eastAsia="Times New Roman" w:hAnsi="Arial" w:cs="Arial"/>
          <w:b/>
          <w:sz w:val="28"/>
          <w:szCs w:val="28"/>
        </w:rPr>
      </w:pPr>
    </w:p>
    <w:p w:rsidR="0054410E" w:rsidRDefault="0054410E" w:rsidP="0054410E">
      <w:pPr>
        <w:spacing w:after="0" w:line="240" w:lineRule="auto"/>
        <w:ind w:left="-90" w:right="-180"/>
        <w:jc w:val="center"/>
        <w:rPr>
          <w:rFonts w:ascii="Arial" w:eastAsia="Times New Roman" w:hAnsi="Arial" w:cs="Arial"/>
          <w:b/>
        </w:rPr>
      </w:pPr>
      <w:r w:rsidRPr="009D4187">
        <w:rPr>
          <w:rFonts w:ascii="Arial" w:eastAsia="Times New Roman" w:hAnsi="Arial" w:cs="Arial"/>
          <w:b/>
        </w:rPr>
        <w:t xml:space="preserve">Tenets, Target Audience, and Performance Level </w:t>
      </w:r>
    </w:p>
    <w:p w:rsidR="0054410E" w:rsidRPr="009D4187" w:rsidRDefault="0054410E" w:rsidP="0054410E">
      <w:pPr>
        <w:spacing w:after="0" w:line="240" w:lineRule="auto"/>
        <w:ind w:left="-90" w:right="-180"/>
        <w:jc w:val="center"/>
        <w:rPr>
          <w:rFonts w:ascii="Arial" w:eastAsia="Times New Roman" w:hAnsi="Arial" w:cs="Arial"/>
          <w:b/>
        </w:rPr>
      </w:pPr>
      <w:r w:rsidRPr="009D4187">
        <w:rPr>
          <w:rFonts w:ascii="Arial" w:eastAsia="Times New Roman" w:hAnsi="Arial" w:cs="Arial"/>
          <w:b/>
        </w:rPr>
        <w:t xml:space="preserve">for </w:t>
      </w:r>
      <w:r>
        <w:rPr>
          <w:rFonts w:ascii="Arial" w:eastAsia="Times New Roman" w:hAnsi="Arial" w:cs="Arial"/>
          <w:b/>
        </w:rPr>
        <w:t xml:space="preserve">the </w:t>
      </w:r>
      <w:r w:rsidRPr="009A0557">
        <w:rPr>
          <w:rFonts w:ascii="Arial" w:hAnsi="Arial" w:cs="Arial"/>
          <w:b/>
          <w:bCs/>
        </w:rPr>
        <w:t>Public Health Preparedness and Response Core Competency</w:t>
      </w:r>
      <w:r w:rsidRPr="009D4187">
        <w:rPr>
          <w:rFonts w:ascii="Arial" w:hAnsi="Arial" w:cs="Arial"/>
          <w:b/>
          <w:bCs/>
          <w:color w:val="240436"/>
        </w:rPr>
        <w:t xml:space="preserve"> </w:t>
      </w:r>
      <w:r w:rsidRPr="009D4187">
        <w:rPr>
          <w:rFonts w:ascii="Arial" w:eastAsia="Times New Roman" w:hAnsi="Arial" w:cs="Arial"/>
          <w:b/>
        </w:rPr>
        <w:t>Model Version 1.0</w:t>
      </w:r>
    </w:p>
    <w:p w:rsidR="0054410E" w:rsidRPr="009D4187" w:rsidRDefault="0054410E" w:rsidP="0054410E">
      <w:pPr>
        <w:spacing w:after="0" w:line="240" w:lineRule="auto"/>
        <w:ind w:left="-90" w:right="-180"/>
        <w:jc w:val="center"/>
        <w:rPr>
          <w:rFonts w:ascii="Arial" w:eastAsia="Times New Roman" w:hAnsi="Arial" w:cs="Arial"/>
          <w:b/>
          <w:sz w:val="20"/>
          <w:szCs w:val="20"/>
        </w:rPr>
      </w:pPr>
      <w:r w:rsidRPr="009D4187">
        <w:rPr>
          <w:rFonts w:ascii="Arial" w:eastAsia="Times New Roman" w:hAnsi="Arial" w:cs="Arial"/>
          <w:b/>
          <w:sz w:val="20"/>
          <w:szCs w:val="20"/>
        </w:rPr>
        <w:t>(December 1</w:t>
      </w:r>
      <w:r w:rsidR="00AB6291">
        <w:rPr>
          <w:rFonts w:ascii="Arial" w:eastAsia="Times New Roman" w:hAnsi="Arial" w:cs="Arial"/>
          <w:b/>
          <w:sz w:val="20"/>
          <w:szCs w:val="20"/>
        </w:rPr>
        <w:t>7</w:t>
      </w:r>
      <w:r w:rsidRPr="009D4187">
        <w:rPr>
          <w:rFonts w:ascii="Arial" w:eastAsia="Times New Roman" w:hAnsi="Arial" w:cs="Arial"/>
          <w:b/>
          <w:sz w:val="20"/>
          <w:szCs w:val="20"/>
        </w:rPr>
        <w:t>, 2010)</w:t>
      </w:r>
    </w:p>
    <w:p w:rsidR="0054410E" w:rsidRPr="0055565F" w:rsidRDefault="0054410E" w:rsidP="0054410E">
      <w:pPr>
        <w:spacing w:after="0" w:line="240" w:lineRule="auto"/>
        <w:rPr>
          <w:rFonts w:ascii="Arial" w:eastAsia="Times New Roman" w:hAnsi="Arial" w:cs="Arial"/>
        </w:rPr>
      </w:pPr>
    </w:p>
    <w:p w:rsidR="0054410E" w:rsidRPr="006A4D4C" w:rsidRDefault="0054410E" w:rsidP="0054410E">
      <w:pPr>
        <w:spacing w:after="0" w:line="240" w:lineRule="auto"/>
        <w:jc w:val="both"/>
        <w:rPr>
          <w:rFonts w:ascii="Arial" w:hAnsi="Arial" w:cs="Arial"/>
          <w:iCs/>
          <w:sz w:val="20"/>
          <w:szCs w:val="20"/>
        </w:rPr>
      </w:pPr>
      <w:r w:rsidRPr="006A4D4C">
        <w:rPr>
          <w:rFonts w:ascii="Arial" w:hAnsi="Arial" w:cs="Arial"/>
          <w:color w:val="000000"/>
          <w:sz w:val="20"/>
          <w:szCs w:val="20"/>
        </w:rPr>
        <w:t xml:space="preserve">Supported by the </w:t>
      </w:r>
      <w:hyperlink r:id="rId19" w:history="1">
        <w:r>
          <w:rPr>
            <w:rStyle w:val="Hyperlink"/>
            <w:rFonts w:ascii="Arial" w:hAnsi="Arial" w:cs="Arial"/>
          </w:rPr>
          <w:t>Centers for Disease Control and Prevention (CDC)</w:t>
        </w:r>
        <w:r w:rsidRPr="008C6D17">
          <w:rPr>
            <w:rStyle w:val="Hyperlink"/>
            <w:rFonts w:ascii="Arial" w:hAnsi="Arial" w:cs="Arial"/>
          </w:rPr>
          <w:t xml:space="preserve"> Office of Public Health Preparedness and Response</w:t>
        </w:r>
      </w:hyperlink>
      <w:r w:rsidRPr="006A4D4C">
        <w:rPr>
          <w:rFonts w:ascii="Arial" w:hAnsi="Arial" w:cs="Arial"/>
          <w:color w:val="000000"/>
          <w:sz w:val="20"/>
          <w:szCs w:val="20"/>
        </w:rPr>
        <w:t xml:space="preserve">, the </w:t>
      </w:r>
      <w:hyperlink r:id="rId20" w:history="1">
        <w:r w:rsidRPr="00637642">
          <w:rPr>
            <w:rStyle w:val="Hyperlink"/>
            <w:rFonts w:ascii="Arial" w:hAnsi="Arial" w:cs="Arial"/>
          </w:rPr>
          <w:t>Association of Schools of Public Health (ASPH)</w:t>
        </w:r>
      </w:hyperlink>
      <w:r w:rsidRPr="006A4D4C">
        <w:rPr>
          <w:rFonts w:ascii="Arial" w:hAnsi="Arial" w:cs="Arial"/>
          <w:color w:val="000000"/>
          <w:sz w:val="20"/>
          <w:szCs w:val="20"/>
        </w:rPr>
        <w:t xml:space="preserve"> has built upon existing work to provide a national </w:t>
      </w:r>
      <w:r w:rsidRPr="006A4D4C">
        <w:rPr>
          <w:rFonts w:ascii="Arial" w:hAnsi="Arial" w:cs="Arial"/>
          <w:sz w:val="20"/>
          <w:szCs w:val="20"/>
        </w:rPr>
        <w:t xml:space="preserve">framework for competency-based curricula and training and for performance benchmarks to measure public health </w:t>
      </w:r>
      <w:r w:rsidRPr="008C6D17">
        <w:rPr>
          <w:rFonts w:ascii="Arial" w:hAnsi="Arial" w:cs="Arial"/>
          <w:sz w:val="20"/>
          <w:szCs w:val="20"/>
        </w:rPr>
        <w:t>preparedness and response.  The finished model</w:t>
      </w:r>
      <w:r>
        <w:rPr>
          <w:rFonts w:ascii="Arial" w:hAnsi="Arial" w:cs="Arial"/>
          <w:sz w:val="20"/>
          <w:szCs w:val="20"/>
        </w:rPr>
        <w:t xml:space="preserve"> — </w:t>
      </w:r>
      <w:r w:rsidRPr="009A0557">
        <w:rPr>
          <w:rFonts w:ascii="Arial" w:hAnsi="Arial" w:cs="Arial"/>
          <w:sz w:val="20"/>
          <w:szCs w:val="20"/>
        </w:rPr>
        <w:t xml:space="preserve">the </w:t>
      </w:r>
      <w:r w:rsidRPr="009A0557">
        <w:rPr>
          <w:rFonts w:ascii="Arial" w:hAnsi="Arial" w:cs="Arial"/>
          <w:bCs/>
          <w:sz w:val="20"/>
          <w:szCs w:val="20"/>
        </w:rPr>
        <w:t>Public Health Preparedness and Response Core Competency Model</w:t>
      </w:r>
      <w:r w:rsidRPr="009D4187">
        <w:rPr>
          <w:rFonts w:ascii="Arial" w:hAnsi="Arial" w:cs="Arial"/>
          <w:bCs/>
          <w:color w:val="240436"/>
          <w:sz w:val="20"/>
          <w:szCs w:val="20"/>
        </w:rPr>
        <w:t xml:space="preserve"> </w:t>
      </w:r>
      <w:r w:rsidRPr="009D4187">
        <w:rPr>
          <w:rFonts w:ascii="Arial" w:hAnsi="Arial" w:cs="Arial"/>
          <w:sz w:val="20"/>
          <w:szCs w:val="20"/>
        </w:rPr>
        <w:t>Version 1.0</w:t>
      </w:r>
      <w:r>
        <w:rPr>
          <w:rFonts w:ascii="Arial" w:hAnsi="Arial" w:cs="Arial"/>
          <w:sz w:val="20"/>
          <w:szCs w:val="20"/>
        </w:rPr>
        <w:t xml:space="preserve"> —</w:t>
      </w:r>
      <w:r w:rsidRPr="008C6D17">
        <w:rPr>
          <w:rFonts w:ascii="Arial" w:hAnsi="Arial" w:cs="Arial"/>
          <w:sz w:val="20"/>
          <w:szCs w:val="20"/>
        </w:rPr>
        <w:t xml:space="preserve"> fulfills a mandate in the </w:t>
      </w:r>
      <w:r w:rsidRPr="008C6D17">
        <w:rPr>
          <w:rFonts w:ascii="Arial" w:eastAsia="Times New Roman" w:hAnsi="Arial" w:cs="Arial"/>
          <w:sz w:val="20"/>
          <w:szCs w:val="20"/>
        </w:rPr>
        <w:t xml:space="preserve">2006 Pandemic and All-Hazards Preparedness Act to develop “a competency-based training program to train public health practitioners.”  It represents individual, core competencies that </w:t>
      </w:r>
      <w:r w:rsidRPr="008C6D17">
        <w:rPr>
          <w:rFonts w:ascii="Arial" w:hAnsi="Arial" w:cs="Arial"/>
          <w:sz w:val="20"/>
          <w:szCs w:val="20"/>
        </w:rPr>
        <w:t>mid-level public health</w:t>
      </w:r>
      <w:r w:rsidRPr="006A4D4C">
        <w:rPr>
          <w:rFonts w:ascii="Arial" w:hAnsi="Arial" w:cs="Arial"/>
          <w:sz w:val="20"/>
          <w:szCs w:val="20"/>
        </w:rPr>
        <w:t xml:space="preserve"> workers, </w:t>
      </w:r>
      <w:r w:rsidRPr="006A4D4C">
        <w:rPr>
          <w:rFonts w:ascii="Arial" w:hAnsi="Arial" w:cs="Arial"/>
          <w:i/>
          <w:sz w:val="20"/>
          <w:szCs w:val="20"/>
        </w:rPr>
        <w:t>regardless of their employment setting</w:t>
      </w:r>
      <w:r w:rsidRPr="006A4D4C">
        <w:rPr>
          <w:rFonts w:ascii="Arial" w:hAnsi="Arial" w:cs="Arial"/>
          <w:sz w:val="20"/>
          <w:szCs w:val="20"/>
        </w:rPr>
        <w:t xml:space="preserve">, </w:t>
      </w:r>
      <w:r w:rsidRPr="006A4D4C">
        <w:rPr>
          <w:rFonts w:ascii="Arial" w:eastAsia="Times New Roman" w:hAnsi="Arial" w:cs="Arial"/>
          <w:sz w:val="20"/>
          <w:szCs w:val="20"/>
        </w:rPr>
        <w:t>are expected to demonstrate to assure readiness.</w:t>
      </w:r>
    </w:p>
    <w:p w:rsidR="0054410E" w:rsidRPr="006A4D4C" w:rsidRDefault="0054410E" w:rsidP="0054410E">
      <w:pPr>
        <w:spacing w:after="0" w:line="240" w:lineRule="auto"/>
        <w:jc w:val="both"/>
        <w:rPr>
          <w:rFonts w:ascii="Arial" w:hAnsi="Arial" w:cs="Arial"/>
          <w:iCs/>
          <w:sz w:val="20"/>
          <w:szCs w:val="20"/>
        </w:rPr>
      </w:pPr>
    </w:p>
    <w:p w:rsidR="0054410E" w:rsidRDefault="0054410E" w:rsidP="0054410E">
      <w:pPr>
        <w:spacing w:after="0" w:line="240" w:lineRule="auto"/>
        <w:jc w:val="both"/>
        <w:rPr>
          <w:rFonts w:ascii="Arial" w:hAnsi="Arial" w:cs="Arial"/>
          <w:sz w:val="20"/>
          <w:szCs w:val="20"/>
        </w:rPr>
      </w:pPr>
      <w:r w:rsidRPr="006A4D4C">
        <w:rPr>
          <w:rFonts w:ascii="Arial" w:hAnsi="Arial" w:cs="Arial"/>
          <w:sz w:val="20"/>
          <w:szCs w:val="20"/>
        </w:rPr>
        <w:t xml:space="preserve">ASPH and the CDC used a transparent, participatory process </w:t>
      </w:r>
      <w:r>
        <w:rPr>
          <w:rFonts w:ascii="Arial" w:hAnsi="Arial" w:cs="Arial"/>
          <w:sz w:val="20"/>
          <w:szCs w:val="20"/>
        </w:rPr>
        <w:t xml:space="preserve">from April 2009 to December 2010 </w:t>
      </w:r>
      <w:r w:rsidRPr="006A4D4C">
        <w:rPr>
          <w:rFonts w:ascii="Arial" w:hAnsi="Arial" w:cs="Arial"/>
          <w:sz w:val="20"/>
          <w:szCs w:val="20"/>
        </w:rPr>
        <w:t>to develop, vet, and finalize th</w:t>
      </w:r>
      <w:r>
        <w:rPr>
          <w:rFonts w:ascii="Arial" w:hAnsi="Arial" w:cs="Arial"/>
          <w:sz w:val="20"/>
          <w:szCs w:val="20"/>
        </w:rPr>
        <w:t>is</w:t>
      </w:r>
      <w:r w:rsidRPr="006A4D4C">
        <w:rPr>
          <w:rFonts w:ascii="Arial" w:hAnsi="Arial" w:cs="Arial"/>
          <w:sz w:val="20"/>
          <w:szCs w:val="20"/>
        </w:rPr>
        <w:t xml:space="preserve"> model.  Over 400 individuals from federal, tribal, state, and local public health practice and from academe contributed to the process</w:t>
      </w:r>
      <w:r>
        <w:rPr>
          <w:rFonts w:ascii="Arial" w:hAnsi="Arial" w:cs="Arial"/>
          <w:sz w:val="20"/>
          <w:szCs w:val="20"/>
        </w:rPr>
        <w:t xml:space="preserve"> </w:t>
      </w:r>
      <w:r w:rsidRPr="006A4D4C">
        <w:rPr>
          <w:rFonts w:ascii="Arial" w:hAnsi="Arial" w:cs="Arial"/>
          <w:sz w:val="20"/>
          <w:szCs w:val="20"/>
        </w:rPr>
        <w:t xml:space="preserve">as volunteers </w:t>
      </w:r>
      <w:r>
        <w:rPr>
          <w:rFonts w:ascii="Arial" w:hAnsi="Arial" w:cs="Arial"/>
          <w:sz w:val="20"/>
          <w:szCs w:val="20"/>
        </w:rPr>
        <w:t>in three rounds of electronic stakeholder input and in expert workgroups</w:t>
      </w:r>
      <w:r w:rsidRPr="006A4D4C">
        <w:rPr>
          <w:rFonts w:ascii="Arial" w:hAnsi="Arial" w:cs="Arial"/>
          <w:sz w:val="20"/>
          <w:szCs w:val="20"/>
        </w:rPr>
        <w:t xml:space="preserve">.  A 16-member </w:t>
      </w:r>
      <w:hyperlink r:id="rId21" w:history="1">
        <w:r w:rsidRPr="008C6D17">
          <w:rPr>
            <w:rStyle w:val="Hyperlink"/>
            <w:rFonts w:ascii="Arial" w:hAnsi="Arial" w:cs="Arial"/>
          </w:rPr>
          <w:t>Leadership Group</w:t>
        </w:r>
      </w:hyperlink>
      <w:r w:rsidRPr="006A4D4C">
        <w:rPr>
          <w:rFonts w:ascii="Arial" w:hAnsi="Arial" w:cs="Arial"/>
          <w:sz w:val="20"/>
          <w:szCs w:val="20"/>
        </w:rPr>
        <w:t xml:space="preserve"> worked with ASPH staff, CDC officials, and consultants to guide the project.</w:t>
      </w:r>
    </w:p>
    <w:p w:rsidR="0054410E" w:rsidRPr="006A4D4C" w:rsidRDefault="0054410E" w:rsidP="0054410E">
      <w:pPr>
        <w:spacing w:after="0" w:line="240" w:lineRule="auto"/>
        <w:jc w:val="both"/>
        <w:rPr>
          <w:rFonts w:ascii="Arial" w:hAnsi="Arial" w:cs="Arial"/>
          <w:sz w:val="20"/>
          <w:szCs w:val="20"/>
        </w:rPr>
      </w:pPr>
    </w:p>
    <w:p w:rsidR="0054410E" w:rsidRPr="006A4D4C" w:rsidRDefault="0054410E" w:rsidP="0054410E">
      <w:pPr>
        <w:spacing w:after="0" w:line="240" w:lineRule="auto"/>
        <w:rPr>
          <w:rFonts w:ascii="Arial" w:eastAsia="Times New Roman" w:hAnsi="Arial" w:cs="Arial"/>
          <w:b/>
          <w:sz w:val="20"/>
          <w:szCs w:val="20"/>
        </w:rPr>
      </w:pPr>
      <w:r w:rsidRPr="006A4D4C">
        <w:rPr>
          <w:rFonts w:ascii="Arial" w:eastAsia="Times New Roman" w:hAnsi="Arial" w:cs="Arial"/>
          <w:b/>
          <w:sz w:val="20"/>
          <w:szCs w:val="20"/>
        </w:rPr>
        <w:t>Tenets</w:t>
      </w:r>
    </w:p>
    <w:p w:rsidR="0054410E" w:rsidRPr="006A4D4C" w:rsidRDefault="0054410E" w:rsidP="0054410E">
      <w:pPr>
        <w:pStyle w:val="NoSpacing"/>
        <w:rPr>
          <w:rFonts w:ascii="Arial" w:hAnsi="Arial" w:cs="Arial"/>
          <w:sz w:val="20"/>
          <w:szCs w:val="20"/>
        </w:rPr>
      </w:pPr>
      <w:r w:rsidRPr="006A4D4C">
        <w:rPr>
          <w:rFonts w:ascii="Arial" w:hAnsi="Arial" w:cs="Arial"/>
          <w:bCs/>
          <w:sz w:val="20"/>
          <w:szCs w:val="20"/>
        </w:rPr>
        <w:t>The</w:t>
      </w:r>
      <w:r>
        <w:rPr>
          <w:rFonts w:ascii="Arial" w:hAnsi="Arial" w:cs="Arial"/>
          <w:bCs/>
          <w:sz w:val="20"/>
          <w:szCs w:val="20"/>
        </w:rPr>
        <w:t xml:space="preserve"> Leadership Group established the following project tenets, stating that the</w:t>
      </w:r>
      <w:r w:rsidRPr="006A4D4C">
        <w:rPr>
          <w:rFonts w:ascii="Arial" w:hAnsi="Arial" w:cs="Arial"/>
          <w:bCs/>
          <w:sz w:val="20"/>
          <w:szCs w:val="20"/>
        </w:rPr>
        <w:t xml:space="preserve"> resulting competency model </w:t>
      </w:r>
      <w:r>
        <w:rPr>
          <w:rFonts w:ascii="Arial" w:hAnsi="Arial" w:cs="Arial"/>
          <w:bCs/>
          <w:sz w:val="20"/>
          <w:szCs w:val="20"/>
        </w:rPr>
        <w:t>would</w:t>
      </w:r>
      <w:r w:rsidRPr="006A4D4C">
        <w:rPr>
          <w:rFonts w:ascii="Arial" w:hAnsi="Arial" w:cs="Arial"/>
          <w:bCs/>
          <w:sz w:val="20"/>
          <w:szCs w:val="20"/>
        </w:rPr>
        <w:t>:</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Align with established capabilities</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 xml:space="preserve">Utilize an all-hazards approach, spanning across the prevent, protect, respond, and recover missions </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Provide a proposed national standard for mid-level public health workers across all sectors and settings</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Be behaviorally-based, focusing on observable actions</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Reflect and build upon existing competency models</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Supplement existing core public health competency models</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Inform curricular planning for the workforce</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 xml:space="preserve">Be utilized by the CDC Preparedness and Emergency Response Learning Centers (PERLC)* grantees in 2010 </w:t>
      </w:r>
    </w:p>
    <w:p w:rsidR="0054410E" w:rsidRPr="006A4D4C" w:rsidRDefault="0054410E" w:rsidP="0054410E">
      <w:pPr>
        <w:pStyle w:val="NoSpacing"/>
        <w:numPr>
          <w:ilvl w:val="0"/>
          <w:numId w:val="29"/>
        </w:numPr>
        <w:rPr>
          <w:rFonts w:ascii="Arial" w:hAnsi="Arial" w:cs="Arial"/>
          <w:sz w:val="20"/>
          <w:szCs w:val="20"/>
        </w:rPr>
      </w:pPr>
      <w:r w:rsidRPr="006A4D4C">
        <w:rPr>
          <w:rFonts w:ascii="Arial" w:hAnsi="Arial" w:cs="Arial"/>
          <w:sz w:val="20"/>
          <w:szCs w:val="20"/>
        </w:rPr>
        <w:t>Be available to other public and private entities</w:t>
      </w:r>
      <w:r w:rsidR="005E7BB1">
        <w:rPr>
          <w:rFonts w:ascii="Arial" w:hAnsi="Arial" w:cs="Arial"/>
          <w:sz w:val="20"/>
          <w:szCs w:val="20"/>
        </w:rPr>
        <w:t>.</w:t>
      </w:r>
    </w:p>
    <w:p w:rsidR="0054410E" w:rsidRPr="006A4D4C" w:rsidRDefault="0054410E" w:rsidP="0054410E">
      <w:pPr>
        <w:spacing w:after="0" w:line="240" w:lineRule="auto"/>
        <w:rPr>
          <w:rFonts w:ascii="Arial" w:hAnsi="Arial" w:cs="Arial"/>
          <w:i/>
          <w:sz w:val="20"/>
          <w:szCs w:val="20"/>
        </w:rPr>
      </w:pPr>
      <w:r w:rsidRPr="006A4D4C">
        <w:rPr>
          <w:rFonts w:ascii="Arial" w:eastAsia="Times New Roman" w:hAnsi="Arial" w:cs="Arial"/>
          <w:i/>
          <w:sz w:val="20"/>
          <w:szCs w:val="20"/>
        </w:rPr>
        <w:t xml:space="preserve">* </w:t>
      </w:r>
      <w:r w:rsidRPr="006A4D4C">
        <w:rPr>
          <w:rFonts w:ascii="Arial" w:hAnsi="Arial" w:cs="Arial"/>
          <w:i/>
          <w:sz w:val="20"/>
          <w:szCs w:val="20"/>
        </w:rPr>
        <w:t>PERLC are the new iteration of the Centers for Public Health Preparedness.</w:t>
      </w:r>
    </w:p>
    <w:p w:rsidR="0054410E" w:rsidRPr="006A4D4C" w:rsidRDefault="0054410E" w:rsidP="0054410E">
      <w:pPr>
        <w:spacing w:after="0" w:line="240" w:lineRule="auto"/>
        <w:rPr>
          <w:rFonts w:ascii="Arial" w:eastAsia="Times New Roman" w:hAnsi="Arial" w:cs="Arial"/>
          <w:sz w:val="20"/>
          <w:szCs w:val="20"/>
        </w:rPr>
      </w:pPr>
    </w:p>
    <w:p w:rsidR="0054410E" w:rsidRPr="006A4D4C" w:rsidRDefault="0054410E" w:rsidP="0054410E">
      <w:pPr>
        <w:spacing w:after="0" w:line="240" w:lineRule="auto"/>
        <w:rPr>
          <w:rFonts w:ascii="Arial" w:eastAsia="Times New Roman" w:hAnsi="Arial" w:cs="Arial"/>
          <w:color w:val="000000"/>
          <w:sz w:val="20"/>
          <w:szCs w:val="20"/>
        </w:rPr>
      </w:pPr>
      <w:r w:rsidRPr="006A4D4C">
        <w:rPr>
          <w:rFonts w:ascii="Arial" w:eastAsia="Times New Roman" w:hAnsi="Arial" w:cs="Arial"/>
          <w:b/>
          <w:sz w:val="20"/>
          <w:szCs w:val="20"/>
        </w:rPr>
        <w:t xml:space="preserve">Target </w:t>
      </w:r>
      <w:r w:rsidRPr="006A4D4C">
        <w:rPr>
          <w:rFonts w:ascii="Arial" w:eastAsia="Times New Roman" w:hAnsi="Arial" w:cs="Arial"/>
          <w:b/>
          <w:color w:val="000000"/>
          <w:sz w:val="20"/>
          <w:szCs w:val="20"/>
        </w:rPr>
        <w:t>Audience</w:t>
      </w:r>
    </w:p>
    <w:p w:rsidR="0054410E" w:rsidRPr="006A4D4C" w:rsidRDefault="0054410E" w:rsidP="0054410E">
      <w:pPr>
        <w:spacing w:after="0" w:line="240" w:lineRule="auto"/>
        <w:ind w:right="-180"/>
        <w:rPr>
          <w:rFonts w:ascii="Arial" w:eastAsia="Times New Roman" w:hAnsi="Arial" w:cs="Arial"/>
          <w:color w:val="000000"/>
          <w:sz w:val="20"/>
          <w:szCs w:val="20"/>
        </w:rPr>
      </w:pPr>
      <w:r>
        <w:rPr>
          <w:rFonts w:ascii="Arial" w:eastAsia="Times New Roman" w:hAnsi="Arial" w:cs="Arial"/>
          <w:color w:val="000000"/>
          <w:sz w:val="20"/>
          <w:szCs w:val="20"/>
        </w:rPr>
        <w:t>The model d</w:t>
      </w:r>
      <w:r w:rsidRPr="006A4D4C">
        <w:rPr>
          <w:rFonts w:ascii="Arial" w:eastAsia="Times New Roman" w:hAnsi="Arial" w:cs="Arial"/>
          <w:color w:val="000000"/>
          <w:sz w:val="20"/>
          <w:szCs w:val="20"/>
        </w:rPr>
        <w:t>efine</w:t>
      </w:r>
      <w:r>
        <w:rPr>
          <w:rFonts w:ascii="Arial" w:eastAsia="Times New Roman" w:hAnsi="Arial" w:cs="Arial"/>
          <w:color w:val="000000"/>
          <w:sz w:val="20"/>
          <w:szCs w:val="20"/>
        </w:rPr>
        <w:t>s</w:t>
      </w:r>
      <w:r w:rsidRPr="006A4D4C">
        <w:rPr>
          <w:rFonts w:ascii="Arial" w:eastAsia="Times New Roman" w:hAnsi="Arial" w:cs="Arial"/>
          <w:color w:val="000000"/>
          <w:sz w:val="20"/>
          <w:szCs w:val="20"/>
        </w:rPr>
        <w:t xml:space="preserve"> a mid-level public health worker as an individual with:</w:t>
      </w:r>
    </w:p>
    <w:p w:rsidR="0054410E" w:rsidRPr="006A4D4C" w:rsidRDefault="0054410E" w:rsidP="0054410E">
      <w:pPr>
        <w:pStyle w:val="PlainText"/>
        <w:numPr>
          <w:ilvl w:val="0"/>
          <w:numId w:val="31"/>
        </w:numPr>
        <w:rPr>
          <w:rFonts w:ascii="Arial" w:hAnsi="Arial" w:cs="Arial"/>
          <w:color w:val="000000"/>
          <w:sz w:val="20"/>
          <w:szCs w:val="20"/>
        </w:rPr>
      </w:pPr>
      <w:r>
        <w:rPr>
          <w:rFonts w:ascii="Arial" w:hAnsi="Arial" w:cs="Arial"/>
          <w:color w:val="000000"/>
          <w:sz w:val="20"/>
          <w:szCs w:val="20"/>
        </w:rPr>
        <w:t>Five</w:t>
      </w:r>
      <w:r w:rsidRPr="006A4D4C">
        <w:rPr>
          <w:rFonts w:ascii="Arial" w:hAnsi="Arial" w:cs="Arial"/>
          <w:color w:val="000000"/>
          <w:sz w:val="20"/>
          <w:szCs w:val="20"/>
        </w:rPr>
        <w:t xml:space="preserve"> years experience with an MPH equivalent or higher degree in public health, or</w:t>
      </w:r>
    </w:p>
    <w:p w:rsidR="0054410E" w:rsidRPr="006A4D4C" w:rsidRDefault="0054410E" w:rsidP="0054410E">
      <w:pPr>
        <w:pStyle w:val="PlainText"/>
        <w:numPr>
          <w:ilvl w:val="0"/>
          <w:numId w:val="31"/>
        </w:numPr>
        <w:rPr>
          <w:rFonts w:ascii="Arial" w:hAnsi="Arial" w:cs="Arial"/>
          <w:color w:val="000000"/>
          <w:sz w:val="20"/>
          <w:szCs w:val="20"/>
        </w:rPr>
      </w:pPr>
      <w:r w:rsidRPr="006A4D4C">
        <w:rPr>
          <w:rFonts w:ascii="Arial" w:hAnsi="Arial" w:cs="Arial"/>
          <w:color w:val="000000"/>
          <w:sz w:val="20"/>
          <w:szCs w:val="20"/>
        </w:rPr>
        <w:t>10 years experience with a high school diploma, bachelors, or non-public health graduate degree.</w:t>
      </w:r>
    </w:p>
    <w:p w:rsidR="0054410E" w:rsidRPr="006A4D4C" w:rsidRDefault="0054410E" w:rsidP="0054410E">
      <w:pPr>
        <w:spacing w:after="0" w:line="240" w:lineRule="auto"/>
        <w:ind w:left="720"/>
        <w:rPr>
          <w:rFonts w:ascii="Arial" w:eastAsia="Times New Roman" w:hAnsi="Arial" w:cs="Arial"/>
          <w:color w:val="000000"/>
          <w:sz w:val="20"/>
          <w:szCs w:val="20"/>
        </w:rPr>
      </w:pPr>
    </w:p>
    <w:p w:rsidR="0054410E" w:rsidRPr="006A4D4C" w:rsidRDefault="0054410E" w:rsidP="0054410E">
      <w:pPr>
        <w:spacing w:after="0" w:line="240" w:lineRule="auto"/>
        <w:rPr>
          <w:rFonts w:ascii="Arial" w:eastAsia="Times New Roman" w:hAnsi="Arial" w:cs="Arial"/>
          <w:sz w:val="20"/>
          <w:szCs w:val="20"/>
        </w:rPr>
      </w:pPr>
      <w:r w:rsidRPr="006A4D4C">
        <w:rPr>
          <w:rFonts w:ascii="Arial" w:eastAsia="Times New Roman" w:hAnsi="Arial" w:cs="Arial"/>
          <w:color w:val="000000"/>
          <w:sz w:val="20"/>
          <w:szCs w:val="20"/>
        </w:rPr>
        <w:t>Aside from years of experience and education, these workers may have responsibilities for: program support, coordination, development, implementation, management and/or evaluation; supervision; establishing and maintaining community relations</w:t>
      </w:r>
      <w:r w:rsidRPr="006A4D4C">
        <w:rPr>
          <w:rFonts w:ascii="Arial" w:eastAsia="Times New Roman" w:hAnsi="Arial" w:cs="Arial"/>
          <w:sz w:val="20"/>
          <w:szCs w:val="20"/>
        </w:rPr>
        <w:t>, presenting arguments and recommendations on policy issues, etc.</w:t>
      </w:r>
    </w:p>
    <w:p w:rsidR="0054410E" w:rsidRPr="006A4D4C" w:rsidRDefault="0054410E" w:rsidP="0054410E">
      <w:pPr>
        <w:spacing w:after="0" w:line="240" w:lineRule="auto"/>
        <w:rPr>
          <w:rFonts w:ascii="Arial" w:eastAsia="Times New Roman" w:hAnsi="Arial" w:cs="Arial"/>
          <w:sz w:val="20"/>
          <w:szCs w:val="20"/>
        </w:rPr>
      </w:pPr>
    </w:p>
    <w:p w:rsidR="0054410E" w:rsidRPr="006A4D4C" w:rsidRDefault="0054410E" w:rsidP="0054410E">
      <w:pPr>
        <w:spacing w:after="0" w:line="240" w:lineRule="auto"/>
        <w:rPr>
          <w:rFonts w:ascii="Arial" w:hAnsi="Arial" w:cs="Arial"/>
          <w:sz w:val="20"/>
          <w:szCs w:val="20"/>
        </w:rPr>
      </w:pPr>
      <w:r w:rsidRPr="006A4D4C">
        <w:rPr>
          <w:rFonts w:ascii="Arial" w:hAnsi="Arial" w:cs="Arial"/>
          <w:sz w:val="20"/>
          <w:szCs w:val="20"/>
        </w:rPr>
        <w:t>To provide a few examples, mid-level public health workers could include:</w:t>
      </w:r>
    </w:p>
    <w:p w:rsidR="0054410E" w:rsidRPr="006A4D4C" w:rsidRDefault="0054410E" w:rsidP="0054410E">
      <w:pPr>
        <w:numPr>
          <w:ilvl w:val="0"/>
          <w:numId w:val="30"/>
        </w:numPr>
        <w:spacing w:after="0" w:line="240" w:lineRule="auto"/>
        <w:rPr>
          <w:rFonts w:ascii="Arial" w:eastAsia="Times New Roman" w:hAnsi="Arial" w:cs="Arial"/>
          <w:sz w:val="20"/>
          <w:szCs w:val="20"/>
        </w:rPr>
      </w:pPr>
      <w:r w:rsidRPr="006A4D4C">
        <w:rPr>
          <w:rFonts w:ascii="Arial" w:eastAsia="Times New Roman" w:hAnsi="Arial" w:cs="Arial"/>
          <w:sz w:val="20"/>
          <w:szCs w:val="20"/>
        </w:rPr>
        <w:t xml:space="preserve">Administrative supervisors, such as payroll supervisors, purchasing managers, and human resources staff; </w:t>
      </w:r>
    </w:p>
    <w:p w:rsidR="0054410E" w:rsidRPr="006A4D4C" w:rsidRDefault="0054410E" w:rsidP="0054410E">
      <w:pPr>
        <w:numPr>
          <w:ilvl w:val="0"/>
          <w:numId w:val="30"/>
        </w:numPr>
        <w:spacing w:after="0" w:line="240" w:lineRule="auto"/>
        <w:rPr>
          <w:rFonts w:ascii="Arial" w:eastAsia="Times New Roman" w:hAnsi="Arial" w:cs="Arial"/>
          <w:sz w:val="20"/>
          <w:szCs w:val="20"/>
        </w:rPr>
      </w:pPr>
      <w:r w:rsidRPr="006A4D4C">
        <w:rPr>
          <w:rFonts w:ascii="Arial" w:eastAsia="Times New Roman" w:hAnsi="Arial" w:cs="Arial"/>
          <w:sz w:val="20"/>
          <w:szCs w:val="20"/>
        </w:rPr>
        <w:t xml:space="preserve">Chief clerks of vital records; </w:t>
      </w:r>
    </w:p>
    <w:p w:rsidR="0054410E" w:rsidRPr="006A4D4C" w:rsidRDefault="0054410E" w:rsidP="0054410E">
      <w:pPr>
        <w:numPr>
          <w:ilvl w:val="0"/>
          <w:numId w:val="30"/>
        </w:numPr>
        <w:spacing w:after="0" w:line="240" w:lineRule="auto"/>
        <w:rPr>
          <w:rFonts w:ascii="Arial" w:eastAsia="Times New Roman" w:hAnsi="Arial" w:cs="Arial"/>
          <w:sz w:val="20"/>
          <w:szCs w:val="20"/>
        </w:rPr>
      </w:pPr>
      <w:r w:rsidRPr="006A4D4C">
        <w:rPr>
          <w:rFonts w:ascii="Arial" w:hAnsi="Arial" w:cs="Arial"/>
          <w:sz w:val="20"/>
          <w:szCs w:val="20"/>
        </w:rPr>
        <w:t>Public health nurses who run well-child clinics, immunization programs, STD testing, and/or who also may assist with epidemiological tasks; and,</w:t>
      </w:r>
    </w:p>
    <w:p w:rsidR="0054410E" w:rsidRPr="006A4D4C" w:rsidRDefault="0054410E" w:rsidP="0054410E">
      <w:pPr>
        <w:numPr>
          <w:ilvl w:val="0"/>
          <w:numId w:val="30"/>
        </w:numPr>
        <w:spacing w:after="0" w:line="240" w:lineRule="auto"/>
        <w:rPr>
          <w:rFonts w:ascii="Arial" w:eastAsia="Times New Roman" w:hAnsi="Arial" w:cs="Arial"/>
          <w:sz w:val="20"/>
          <w:szCs w:val="20"/>
        </w:rPr>
      </w:pPr>
      <w:r w:rsidRPr="006A4D4C">
        <w:rPr>
          <w:rFonts w:ascii="Arial" w:hAnsi="Arial" w:cs="Arial"/>
          <w:sz w:val="20"/>
          <w:szCs w:val="20"/>
        </w:rPr>
        <w:t>Public health sanitarians who: undertake routine food, water, pool, and/or restaurant inspections; conduct food worker training; and/or may help with epidemiological tasks</w:t>
      </w:r>
    </w:p>
    <w:p w:rsidR="0054410E" w:rsidRPr="006A4D4C" w:rsidRDefault="0054410E" w:rsidP="0054410E">
      <w:pPr>
        <w:tabs>
          <w:tab w:val="left" w:pos="2895"/>
        </w:tabs>
        <w:spacing w:after="0" w:line="240" w:lineRule="auto"/>
        <w:rPr>
          <w:rFonts w:ascii="Arial" w:eastAsia="Times New Roman" w:hAnsi="Arial" w:cs="Arial"/>
          <w:sz w:val="20"/>
          <w:szCs w:val="20"/>
        </w:rPr>
      </w:pPr>
    </w:p>
    <w:p w:rsidR="0054410E" w:rsidRPr="006A4D4C" w:rsidRDefault="0054410E" w:rsidP="0054410E">
      <w:pPr>
        <w:pStyle w:val="PlainText"/>
        <w:rPr>
          <w:rFonts w:ascii="Arial" w:hAnsi="Arial" w:cs="Arial"/>
          <w:sz w:val="20"/>
          <w:szCs w:val="20"/>
        </w:rPr>
      </w:pPr>
      <w:r w:rsidRPr="006A4D4C">
        <w:rPr>
          <w:rFonts w:ascii="Arial" w:hAnsi="Arial" w:cs="Arial"/>
          <w:sz w:val="20"/>
          <w:szCs w:val="20"/>
        </w:rPr>
        <w:t xml:space="preserve">Such mid-level workers may or may not </w:t>
      </w:r>
      <w:r w:rsidRPr="006A4D4C">
        <w:rPr>
          <w:rFonts w:ascii="Arial" w:hAnsi="Arial" w:cs="Arial"/>
          <w:i/>
          <w:sz w:val="20"/>
          <w:szCs w:val="20"/>
        </w:rPr>
        <w:t>directly</w:t>
      </w:r>
      <w:r w:rsidRPr="006A4D4C">
        <w:rPr>
          <w:rFonts w:ascii="Arial" w:hAnsi="Arial" w:cs="Arial"/>
          <w:sz w:val="20"/>
          <w:szCs w:val="20"/>
        </w:rPr>
        <w:t xml:space="preserve"> provide the 10 essential public health services as part of their daily jobs.  In the event of an “all hands on deck” emergency, however, organizational leaders may need to use the full range of available human resources to support response and recovery.  Each organization will make a decision about which employees to include in the audience for training and exercises applying these core competencies.</w:t>
      </w:r>
    </w:p>
    <w:p w:rsidR="0054410E" w:rsidRPr="006A4D4C" w:rsidRDefault="0054410E" w:rsidP="0054410E">
      <w:pPr>
        <w:pStyle w:val="PlainText"/>
        <w:rPr>
          <w:rFonts w:ascii="Arial" w:hAnsi="Arial" w:cs="Arial"/>
          <w:sz w:val="20"/>
          <w:szCs w:val="20"/>
        </w:rPr>
      </w:pPr>
    </w:p>
    <w:p w:rsidR="0054410E" w:rsidRPr="006A4D4C" w:rsidRDefault="0054410E" w:rsidP="0054410E">
      <w:pPr>
        <w:spacing w:after="0" w:line="240" w:lineRule="auto"/>
        <w:rPr>
          <w:rFonts w:ascii="Arial" w:eastAsia="Times New Roman" w:hAnsi="Arial" w:cs="Arial"/>
          <w:b/>
          <w:sz w:val="20"/>
          <w:szCs w:val="20"/>
        </w:rPr>
      </w:pPr>
      <w:r w:rsidRPr="006A4D4C">
        <w:rPr>
          <w:rFonts w:ascii="Arial" w:eastAsia="Times New Roman" w:hAnsi="Arial" w:cs="Arial"/>
          <w:b/>
          <w:sz w:val="20"/>
          <w:szCs w:val="20"/>
        </w:rPr>
        <w:t>Performance Level</w:t>
      </w:r>
    </w:p>
    <w:p w:rsidR="008539F2" w:rsidRPr="00B531CF" w:rsidRDefault="0054410E" w:rsidP="00B531CF">
      <w:pPr>
        <w:spacing w:after="0" w:line="240" w:lineRule="auto"/>
        <w:rPr>
          <w:rFonts w:ascii="Arial" w:eastAsia="Times New Roman" w:hAnsi="Arial" w:cs="Arial"/>
        </w:rPr>
      </w:pPr>
      <w:r w:rsidRPr="006A4D4C">
        <w:rPr>
          <w:rFonts w:ascii="Arial" w:eastAsia="Times New Roman" w:hAnsi="Arial" w:cs="Arial"/>
          <w:sz w:val="20"/>
          <w:szCs w:val="20"/>
        </w:rPr>
        <w:t>The model target</w:t>
      </w:r>
      <w:r>
        <w:rPr>
          <w:rFonts w:ascii="Arial" w:eastAsia="Times New Roman" w:hAnsi="Arial" w:cs="Arial"/>
          <w:sz w:val="20"/>
          <w:szCs w:val="20"/>
        </w:rPr>
        <w:t>s</w:t>
      </w:r>
      <w:r w:rsidRPr="006A4D4C">
        <w:rPr>
          <w:rFonts w:ascii="Arial" w:eastAsia="Times New Roman" w:hAnsi="Arial" w:cs="Arial"/>
          <w:sz w:val="20"/>
          <w:szCs w:val="20"/>
        </w:rPr>
        <w:t xml:space="preserve"> </w:t>
      </w:r>
      <w:r w:rsidRPr="006A4D4C">
        <w:rPr>
          <w:rFonts w:ascii="Arial" w:eastAsia="Times New Roman" w:hAnsi="Arial" w:cs="Arial"/>
          <w:i/>
          <w:sz w:val="20"/>
          <w:szCs w:val="20"/>
        </w:rPr>
        <w:t>proficiency</w:t>
      </w:r>
      <w:r w:rsidRPr="006A4D4C">
        <w:rPr>
          <w:rFonts w:ascii="Arial" w:eastAsia="Times New Roman" w:hAnsi="Arial" w:cs="Arial"/>
          <w:sz w:val="20"/>
          <w:szCs w:val="20"/>
        </w:rPr>
        <w:t xml:space="preserve"> as the level of competence required </w:t>
      </w:r>
      <w:r>
        <w:rPr>
          <w:rFonts w:ascii="Arial" w:eastAsia="Times New Roman" w:hAnsi="Arial" w:cs="Arial"/>
          <w:sz w:val="20"/>
          <w:szCs w:val="20"/>
        </w:rPr>
        <w:t>to assure readiness</w:t>
      </w:r>
      <w:r w:rsidRPr="006A4D4C">
        <w:rPr>
          <w:rFonts w:ascii="Arial" w:eastAsia="Times New Roman" w:hAnsi="Arial" w:cs="Arial"/>
          <w:sz w:val="20"/>
          <w:szCs w:val="20"/>
        </w:rPr>
        <w:t xml:space="preserve">. </w:t>
      </w:r>
      <w:r>
        <w:rPr>
          <w:rFonts w:ascii="Arial" w:eastAsia="Times New Roman" w:hAnsi="Arial" w:cs="Arial"/>
          <w:sz w:val="20"/>
          <w:szCs w:val="20"/>
        </w:rPr>
        <w:t>W</w:t>
      </w:r>
      <w:r w:rsidRPr="006A4D4C">
        <w:rPr>
          <w:rFonts w:ascii="Arial" w:hAnsi="Arial" w:cs="Arial"/>
          <w:sz w:val="20"/>
          <w:szCs w:val="20"/>
        </w:rPr>
        <w:t xml:space="preserve">orkers </w:t>
      </w:r>
      <w:r>
        <w:rPr>
          <w:rFonts w:ascii="Arial" w:hAnsi="Arial" w:cs="Arial"/>
          <w:sz w:val="20"/>
          <w:szCs w:val="20"/>
        </w:rPr>
        <w:t xml:space="preserve">may </w:t>
      </w:r>
      <w:r w:rsidRPr="006A4D4C">
        <w:rPr>
          <w:rFonts w:ascii="Arial" w:hAnsi="Arial" w:cs="Arial"/>
          <w:sz w:val="20"/>
          <w:szCs w:val="20"/>
        </w:rPr>
        <w:t xml:space="preserve">begin as novices and some </w:t>
      </w:r>
      <w:r w:rsidRPr="006A4D4C">
        <w:rPr>
          <w:rFonts w:ascii="Arial" w:eastAsia="Times New Roman" w:hAnsi="Arial" w:cs="Arial"/>
          <w:sz w:val="20"/>
          <w:szCs w:val="20"/>
        </w:rPr>
        <w:t>may be required by a specific position or activity to achieve expert competence.</w:t>
      </w:r>
    </w:p>
    <w:sectPr w:rsidR="008539F2" w:rsidRPr="00B531CF" w:rsidSect="00156466">
      <w:headerReference w:type="default" r:id="rId22"/>
      <w:headerReference w:type="first" r:id="rId23"/>
      <w:footerReference w:type="first" r:id="rId24"/>
      <w:pgSz w:w="12240" w:h="15840"/>
      <w:pgMar w:top="360" w:right="360" w:bottom="360" w:left="720" w:header="28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0E" w:rsidRDefault="0054410E" w:rsidP="002F6529">
      <w:pPr>
        <w:spacing w:after="0" w:line="240" w:lineRule="auto"/>
      </w:pPr>
      <w:r>
        <w:separator/>
      </w:r>
    </w:p>
  </w:endnote>
  <w:endnote w:type="continuationSeparator" w:id="0">
    <w:p w:rsidR="0054410E" w:rsidRDefault="0054410E" w:rsidP="002F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66" w:rsidRDefault="00156466" w:rsidP="00156466">
    <w:pPr>
      <w:pStyle w:val="NoSpacing"/>
      <w:jc w:val="center"/>
    </w:pPr>
    <w:r>
      <w:t xml:space="preserve">For more information and to comment on these competencies, see </w:t>
    </w:r>
    <w:hyperlink r:id="rId1" w:history="1">
      <w:r w:rsidRPr="00052628">
        <w:rPr>
          <w:rStyle w:val="Hyperlink"/>
        </w:rPr>
        <w:t>http://www.asph.org/document.cfm?page=1081</w:t>
      </w:r>
    </w:hyperlink>
    <w:r>
      <w:t xml:space="preserve">. </w:t>
    </w:r>
  </w:p>
  <w:p w:rsidR="00156466" w:rsidRDefault="00156466" w:rsidP="00156466">
    <w:pPr>
      <w:pStyle w:val="NoSpacing"/>
      <w:jc w:val="center"/>
    </w:pPr>
    <w:r w:rsidRPr="00DD3B59">
      <w:rPr>
        <w:rFonts w:ascii="Arial" w:hAnsi="Arial" w:cs="Arial"/>
        <w:sz w:val="20"/>
        <w:szCs w:val="20"/>
      </w:rPr>
      <w:t>This project is conducted in partnership under a cooperative agreement between CDC and ASPH.</w:t>
    </w:r>
  </w:p>
  <w:p w:rsidR="00156466" w:rsidRDefault="00156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0E" w:rsidRDefault="0054410E" w:rsidP="002F6529">
      <w:pPr>
        <w:spacing w:after="0" w:line="240" w:lineRule="auto"/>
      </w:pPr>
      <w:r>
        <w:separator/>
      </w:r>
    </w:p>
  </w:footnote>
  <w:footnote w:type="continuationSeparator" w:id="0">
    <w:p w:rsidR="0054410E" w:rsidRDefault="0054410E" w:rsidP="002F6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0E" w:rsidRPr="00B02FE8" w:rsidRDefault="0054410E" w:rsidP="009D24F3">
    <w:pPr>
      <w:pStyle w:val="NoSpacing"/>
      <w:jc w:val="center"/>
    </w:pPr>
    <w:r>
      <w:rPr>
        <w:rFonts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66" w:rsidRPr="00B02FE8" w:rsidRDefault="00AB6291" w:rsidP="00156466">
    <w:pPr>
      <w:pStyle w:val="NoSpacing"/>
      <w:jc w:val="center"/>
    </w:pPr>
    <w:r>
      <w:rPr>
        <w:rFonts w:cs="Calibri"/>
      </w:rPr>
      <w:t>FINAL</w:t>
    </w:r>
    <w:r w:rsidR="00156466">
      <w:rPr>
        <w:rFonts w:cs="Calibri"/>
      </w:rPr>
      <w:t xml:space="preserve"> Model Version 1.0 (December 1</w:t>
    </w:r>
    <w:r>
      <w:rPr>
        <w:rFonts w:cs="Calibri"/>
      </w:rPr>
      <w:t>7</w:t>
    </w:r>
    <w:r w:rsidR="00156466">
      <w:rPr>
        <w:rFonts w:cs="Calibri"/>
      </w:rPr>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78"/>
    <w:multiLevelType w:val="hybridMultilevel"/>
    <w:tmpl w:val="B4A46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669B7"/>
    <w:multiLevelType w:val="hybridMultilevel"/>
    <w:tmpl w:val="8BA0EC56"/>
    <w:lvl w:ilvl="0" w:tplc="D0029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56D09"/>
    <w:multiLevelType w:val="hybridMultilevel"/>
    <w:tmpl w:val="74846030"/>
    <w:lvl w:ilvl="0" w:tplc="249E243C">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11285F01"/>
    <w:multiLevelType w:val="hybridMultilevel"/>
    <w:tmpl w:val="E1925F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3111FD"/>
    <w:multiLevelType w:val="multilevel"/>
    <w:tmpl w:val="9B7A27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AE05D2"/>
    <w:multiLevelType w:val="multilevel"/>
    <w:tmpl w:val="A5924458"/>
    <w:lvl w:ilvl="0">
      <w:start w:val="3"/>
      <w:numFmt w:val="decimal"/>
      <w:lvlText w:val="%1"/>
      <w:lvlJc w:val="left"/>
      <w:pPr>
        <w:ind w:left="360" w:hanging="360"/>
      </w:pPr>
      <w:rPr>
        <w:rFonts w:ascii="Tahoma" w:hAnsi="Tahoma" w:cs="Tahoma" w:hint="default"/>
        <w:sz w:val="20"/>
      </w:rPr>
    </w:lvl>
    <w:lvl w:ilvl="1">
      <w:start w:val="1"/>
      <w:numFmt w:val="decimal"/>
      <w:lvlText w:val="%1.%2"/>
      <w:lvlJc w:val="left"/>
      <w:pPr>
        <w:ind w:left="1080" w:hanging="360"/>
      </w:pPr>
      <w:rPr>
        <w:rFonts w:ascii="Tahoma" w:hAnsi="Tahoma" w:cs="Tahoma" w:hint="default"/>
        <w:sz w:val="20"/>
      </w:rPr>
    </w:lvl>
    <w:lvl w:ilvl="2">
      <w:start w:val="1"/>
      <w:numFmt w:val="decimal"/>
      <w:lvlText w:val="%1.%2.%3"/>
      <w:lvlJc w:val="left"/>
      <w:pPr>
        <w:ind w:left="2160" w:hanging="720"/>
      </w:pPr>
      <w:rPr>
        <w:rFonts w:ascii="Tahoma" w:hAnsi="Tahoma" w:cs="Tahoma" w:hint="default"/>
        <w:sz w:val="20"/>
      </w:rPr>
    </w:lvl>
    <w:lvl w:ilvl="3">
      <w:start w:val="1"/>
      <w:numFmt w:val="decimal"/>
      <w:lvlText w:val="%1.%2.%3.%4"/>
      <w:lvlJc w:val="left"/>
      <w:pPr>
        <w:ind w:left="2880" w:hanging="720"/>
      </w:pPr>
      <w:rPr>
        <w:rFonts w:ascii="Tahoma" w:hAnsi="Tahoma" w:cs="Tahoma" w:hint="default"/>
        <w:sz w:val="20"/>
      </w:rPr>
    </w:lvl>
    <w:lvl w:ilvl="4">
      <w:start w:val="1"/>
      <w:numFmt w:val="decimal"/>
      <w:lvlText w:val="%1.%2.%3.%4.%5"/>
      <w:lvlJc w:val="left"/>
      <w:pPr>
        <w:ind w:left="3960" w:hanging="1080"/>
      </w:pPr>
      <w:rPr>
        <w:rFonts w:ascii="Tahoma" w:hAnsi="Tahoma" w:cs="Tahoma" w:hint="default"/>
        <w:sz w:val="20"/>
      </w:rPr>
    </w:lvl>
    <w:lvl w:ilvl="5">
      <w:start w:val="1"/>
      <w:numFmt w:val="decimal"/>
      <w:lvlText w:val="%1.%2.%3.%4.%5.%6"/>
      <w:lvlJc w:val="left"/>
      <w:pPr>
        <w:ind w:left="4680" w:hanging="1080"/>
      </w:pPr>
      <w:rPr>
        <w:rFonts w:ascii="Tahoma" w:hAnsi="Tahoma" w:cs="Tahoma" w:hint="default"/>
        <w:sz w:val="20"/>
      </w:rPr>
    </w:lvl>
    <w:lvl w:ilvl="6">
      <w:start w:val="1"/>
      <w:numFmt w:val="decimal"/>
      <w:lvlText w:val="%1.%2.%3.%4.%5.%6.%7"/>
      <w:lvlJc w:val="left"/>
      <w:pPr>
        <w:ind w:left="5760" w:hanging="1440"/>
      </w:pPr>
      <w:rPr>
        <w:rFonts w:ascii="Tahoma" w:hAnsi="Tahoma" w:cs="Tahoma" w:hint="default"/>
        <w:sz w:val="20"/>
      </w:rPr>
    </w:lvl>
    <w:lvl w:ilvl="7">
      <w:start w:val="1"/>
      <w:numFmt w:val="decimal"/>
      <w:lvlText w:val="%1.%2.%3.%4.%5.%6.%7.%8"/>
      <w:lvlJc w:val="left"/>
      <w:pPr>
        <w:ind w:left="6480" w:hanging="1440"/>
      </w:pPr>
      <w:rPr>
        <w:rFonts w:ascii="Tahoma" w:hAnsi="Tahoma" w:cs="Tahoma" w:hint="default"/>
        <w:sz w:val="20"/>
      </w:rPr>
    </w:lvl>
    <w:lvl w:ilvl="8">
      <w:start w:val="1"/>
      <w:numFmt w:val="decimal"/>
      <w:lvlText w:val="%1.%2.%3.%4.%5.%6.%7.%8.%9"/>
      <w:lvlJc w:val="left"/>
      <w:pPr>
        <w:ind w:left="7560" w:hanging="1800"/>
      </w:pPr>
      <w:rPr>
        <w:rFonts w:ascii="Tahoma" w:hAnsi="Tahoma" w:cs="Tahoma" w:hint="default"/>
        <w:sz w:val="20"/>
      </w:rPr>
    </w:lvl>
  </w:abstractNum>
  <w:abstractNum w:abstractNumId="6">
    <w:nsid w:val="20CB3601"/>
    <w:multiLevelType w:val="hybridMultilevel"/>
    <w:tmpl w:val="E30E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252E8"/>
    <w:multiLevelType w:val="hybridMultilevel"/>
    <w:tmpl w:val="0B96FE6C"/>
    <w:lvl w:ilvl="0" w:tplc="DFA8BA64">
      <w:numFmt w:val="bullet"/>
      <w:lvlText w:val=""/>
      <w:lvlJc w:val="left"/>
      <w:pPr>
        <w:ind w:left="390" w:hanging="360"/>
      </w:pPr>
      <w:rPr>
        <w:rFonts w:ascii="Wingdings" w:eastAsia="Calibri"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25EC06D0"/>
    <w:multiLevelType w:val="hybridMultilevel"/>
    <w:tmpl w:val="1568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33E4"/>
    <w:multiLevelType w:val="hybridMultilevel"/>
    <w:tmpl w:val="C79E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D596F"/>
    <w:multiLevelType w:val="hybridMultilevel"/>
    <w:tmpl w:val="8C16C80A"/>
    <w:lvl w:ilvl="0" w:tplc="E54C2682">
      <w:start w:val="1"/>
      <w:numFmt w:val="lowerLetter"/>
      <w:lvlText w:val="(%1)"/>
      <w:lvlJc w:val="left"/>
      <w:pPr>
        <w:ind w:left="1267" w:hanging="360"/>
      </w:pPr>
      <w:rPr>
        <w:rFonts w:cs="Tahoma"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D892D72"/>
    <w:multiLevelType w:val="hybridMultilevel"/>
    <w:tmpl w:val="A6B045F4"/>
    <w:lvl w:ilvl="0" w:tplc="35520B58">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BA0F56"/>
    <w:multiLevelType w:val="hybridMultilevel"/>
    <w:tmpl w:val="ECAE78D2"/>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363E2BA4"/>
    <w:multiLevelType w:val="hybridMultilevel"/>
    <w:tmpl w:val="C82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65AA6"/>
    <w:multiLevelType w:val="hybridMultilevel"/>
    <w:tmpl w:val="CB087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96817E">
      <w:start w:val="1"/>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D6B06"/>
    <w:multiLevelType w:val="multilevel"/>
    <w:tmpl w:val="D03C0BEE"/>
    <w:lvl w:ilvl="0">
      <w:start w:val="1"/>
      <w:numFmt w:val="decimal"/>
      <w:lvlText w:val="%1."/>
      <w:lvlJc w:val="left"/>
      <w:pPr>
        <w:ind w:left="75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30" w:hanging="1800"/>
      </w:pPr>
      <w:rPr>
        <w:rFonts w:hint="default"/>
      </w:rPr>
    </w:lvl>
  </w:abstractNum>
  <w:abstractNum w:abstractNumId="16">
    <w:nsid w:val="402C12A6"/>
    <w:multiLevelType w:val="hybridMultilevel"/>
    <w:tmpl w:val="3E34A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77D6D"/>
    <w:multiLevelType w:val="hybridMultilevel"/>
    <w:tmpl w:val="2ED0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5752A"/>
    <w:multiLevelType w:val="hybridMultilevel"/>
    <w:tmpl w:val="3784162C"/>
    <w:lvl w:ilvl="0" w:tplc="A47479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D2D61"/>
    <w:multiLevelType w:val="hybridMultilevel"/>
    <w:tmpl w:val="0D3035B2"/>
    <w:lvl w:ilvl="0" w:tplc="6AE89EFE">
      <w:numFmt w:val="bullet"/>
      <w:lvlText w:val=""/>
      <w:lvlJc w:val="left"/>
      <w:pPr>
        <w:ind w:left="390" w:hanging="360"/>
      </w:pPr>
      <w:rPr>
        <w:rFonts w:ascii="Wingdings" w:eastAsia="Calibri"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55EB595D"/>
    <w:multiLevelType w:val="hybridMultilevel"/>
    <w:tmpl w:val="0752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71D36"/>
    <w:multiLevelType w:val="hybridMultilevel"/>
    <w:tmpl w:val="D3B09160"/>
    <w:lvl w:ilvl="0" w:tplc="0409000F">
      <w:start w:val="1"/>
      <w:numFmt w:val="decimal"/>
      <w:lvlText w:val="%1."/>
      <w:lvlJc w:val="left"/>
      <w:pPr>
        <w:ind w:left="390" w:hanging="360"/>
      </w:pPr>
      <w:rPr>
        <w:rFonts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nsid w:val="5B0A5938"/>
    <w:multiLevelType w:val="hybridMultilevel"/>
    <w:tmpl w:val="09544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36447"/>
    <w:multiLevelType w:val="hybridMultilevel"/>
    <w:tmpl w:val="B5BEB3C2"/>
    <w:lvl w:ilvl="0" w:tplc="28BAB3E4">
      <w:start w:val="3"/>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44B06"/>
    <w:multiLevelType w:val="hybridMultilevel"/>
    <w:tmpl w:val="8C16C80A"/>
    <w:lvl w:ilvl="0" w:tplc="E54C2682">
      <w:start w:val="1"/>
      <w:numFmt w:val="lowerLetter"/>
      <w:lvlText w:val="(%1)"/>
      <w:lvlJc w:val="left"/>
      <w:pPr>
        <w:ind w:left="1267" w:hanging="360"/>
      </w:pPr>
      <w:rPr>
        <w:rFonts w:cs="Tahoma"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6BBE39B8"/>
    <w:multiLevelType w:val="hybridMultilevel"/>
    <w:tmpl w:val="FB80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00E4A"/>
    <w:multiLevelType w:val="hybridMultilevel"/>
    <w:tmpl w:val="B832E3C8"/>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75F92174"/>
    <w:multiLevelType w:val="hybridMultilevel"/>
    <w:tmpl w:val="72E67E66"/>
    <w:lvl w:ilvl="0" w:tplc="AC76B550">
      <w:start w:val="1"/>
      <w:numFmt w:val="decimal"/>
      <w:lvlText w:val="%1."/>
      <w:lvlJc w:val="left"/>
      <w:pPr>
        <w:ind w:left="1080" w:hanging="360"/>
      </w:pPr>
      <w:rPr>
        <w:rFonts w:ascii="Calibri" w:eastAsia="Calibri" w:hAnsi="Calibri"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412B36"/>
    <w:multiLevelType w:val="hybridMultilevel"/>
    <w:tmpl w:val="EA36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05073"/>
    <w:multiLevelType w:val="hybridMultilevel"/>
    <w:tmpl w:val="92AEC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76124"/>
    <w:multiLevelType w:val="hybridMultilevel"/>
    <w:tmpl w:val="253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21"/>
  </w:num>
  <w:num w:numId="5">
    <w:abstractNumId w:val="2"/>
  </w:num>
  <w:num w:numId="6">
    <w:abstractNumId w:val="26"/>
  </w:num>
  <w:num w:numId="7">
    <w:abstractNumId w:val="14"/>
  </w:num>
  <w:num w:numId="8">
    <w:abstractNumId w:val="30"/>
  </w:num>
  <w:num w:numId="9">
    <w:abstractNumId w:val="8"/>
  </w:num>
  <w:num w:numId="10">
    <w:abstractNumId w:val="15"/>
  </w:num>
  <w:num w:numId="11">
    <w:abstractNumId w:val="18"/>
  </w:num>
  <w:num w:numId="12">
    <w:abstractNumId w:val="23"/>
  </w:num>
  <w:num w:numId="13">
    <w:abstractNumId w:val="9"/>
  </w:num>
  <w:num w:numId="14">
    <w:abstractNumId w:val="16"/>
  </w:num>
  <w:num w:numId="15">
    <w:abstractNumId w:val="11"/>
  </w:num>
  <w:num w:numId="16">
    <w:abstractNumId w:val="17"/>
  </w:num>
  <w:num w:numId="17">
    <w:abstractNumId w:val="20"/>
  </w:num>
  <w:num w:numId="18">
    <w:abstractNumId w:val="25"/>
  </w:num>
  <w:num w:numId="19">
    <w:abstractNumId w:val="1"/>
  </w:num>
  <w:num w:numId="20">
    <w:abstractNumId w:val="28"/>
  </w:num>
  <w:num w:numId="21">
    <w:abstractNumId w:val="22"/>
  </w:num>
  <w:num w:numId="22">
    <w:abstractNumId w:val="29"/>
  </w:num>
  <w:num w:numId="23">
    <w:abstractNumId w:val="0"/>
  </w:num>
  <w:num w:numId="24">
    <w:abstractNumId w:val="4"/>
  </w:num>
  <w:num w:numId="25">
    <w:abstractNumId w:val="5"/>
  </w:num>
  <w:num w:numId="26">
    <w:abstractNumId w:val="27"/>
  </w:num>
  <w:num w:numId="27">
    <w:abstractNumId w:val="10"/>
  </w:num>
  <w:num w:numId="28">
    <w:abstractNumId w:val="24"/>
  </w:num>
  <w:num w:numId="29">
    <w:abstractNumId w:val="13"/>
  </w:num>
  <w:num w:numId="30">
    <w:abstractNumId w:val="6"/>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CE5F6C"/>
    <w:rsid w:val="00004C7E"/>
    <w:rsid w:val="000155FC"/>
    <w:rsid w:val="00037F5D"/>
    <w:rsid w:val="00046CDA"/>
    <w:rsid w:val="00047609"/>
    <w:rsid w:val="000562C0"/>
    <w:rsid w:val="000576D7"/>
    <w:rsid w:val="000917D0"/>
    <w:rsid w:val="00091CCA"/>
    <w:rsid w:val="00095623"/>
    <w:rsid w:val="000A58D1"/>
    <w:rsid w:val="000B6FC4"/>
    <w:rsid w:val="000C15C9"/>
    <w:rsid w:val="000E07FC"/>
    <w:rsid w:val="000E4358"/>
    <w:rsid w:val="00112856"/>
    <w:rsid w:val="0012118D"/>
    <w:rsid w:val="00131D17"/>
    <w:rsid w:val="001332F5"/>
    <w:rsid w:val="00142ED0"/>
    <w:rsid w:val="00156466"/>
    <w:rsid w:val="0016406C"/>
    <w:rsid w:val="00177DC4"/>
    <w:rsid w:val="00190446"/>
    <w:rsid w:val="00192839"/>
    <w:rsid w:val="00192E07"/>
    <w:rsid w:val="001A201E"/>
    <w:rsid w:val="001B14EF"/>
    <w:rsid w:val="001B6A14"/>
    <w:rsid w:val="001E5DB8"/>
    <w:rsid w:val="001E6DEC"/>
    <w:rsid w:val="001F5871"/>
    <w:rsid w:val="00204ADC"/>
    <w:rsid w:val="00207D12"/>
    <w:rsid w:val="00215827"/>
    <w:rsid w:val="0021794A"/>
    <w:rsid w:val="00221B19"/>
    <w:rsid w:val="002323B4"/>
    <w:rsid w:val="00236B6B"/>
    <w:rsid w:val="00242DC1"/>
    <w:rsid w:val="00267393"/>
    <w:rsid w:val="00274A9E"/>
    <w:rsid w:val="002A37B0"/>
    <w:rsid w:val="002B37D2"/>
    <w:rsid w:val="002C72EB"/>
    <w:rsid w:val="002D58E6"/>
    <w:rsid w:val="002E5322"/>
    <w:rsid w:val="002F6529"/>
    <w:rsid w:val="00301131"/>
    <w:rsid w:val="003045B3"/>
    <w:rsid w:val="00316238"/>
    <w:rsid w:val="00320CFE"/>
    <w:rsid w:val="00341848"/>
    <w:rsid w:val="003430A7"/>
    <w:rsid w:val="00356B4C"/>
    <w:rsid w:val="00383169"/>
    <w:rsid w:val="00385161"/>
    <w:rsid w:val="003936AF"/>
    <w:rsid w:val="00395FDA"/>
    <w:rsid w:val="003A1F21"/>
    <w:rsid w:val="003A2842"/>
    <w:rsid w:val="003A3118"/>
    <w:rsid w:val="003B44D0"/>
    <w:rsid w:val="003B47B0"/>
    <w:rsid w:val="003C15DD"/>
    <w:rsid w:val="003F4310"/>
    <w:rsid w:val="003F616F"/>
    <w:rsid w:val="003F7EEC"/>
    <w:rsid w:val="004066AB"/>
    <w:rsid w:val="004108D5"/>
    <w:rsid w:val="00414EC6"/>
    <w:rsid w:val="0042797D"/>
    <w:rsid w:val="00431987"/>
    <w:rsid w:val="0043334B"/>
    <w:rsid w:val="0043569C"/>
    <w:rsid w:val="00450881"/>
    <w:rsid w:val="00462A73"/>
    <w:rsid w:val="00463330"/>
    <w:rsid w:val="0048268E"/>
    <w:rsid w:val="00492064"/>
    <w:rsid w:val="004B1B62"/>
    <w:rsid w:val="004B4446"/>
    <w:rsid w:val="004C10EA"/>
    <w:rsid w:val="004C733E"/>
    <w:rsid w:val="004C7F60"/>
    <w:rsid w:val="004D12F1"/>
    <w:rsid w:val="004E5A2C"/>
    <w:rsid w:val="004E7CDE"/>
    <w:rsid w:val="004F622B"/>
    <w:rsid w:val="005044A5"/>
    <w:rsid w:val="00515D02"/>
    <w:rsid w:val="005178D2"/>
    <w:rsid w:val="00540B46"/>
    <w:rsid w:val="0054410E"/>
    <w:rsid w:val="00546BC6"/>
    <w:rsid w:val="00560CEE"/>
    <w:rsid w:val="0056220D"/>
    <w:rsid w:val="005A33B6"/>
    <w:rsid w:val="005B64A4"/>
    <w:rsid w:val="005C71FE"/>
    <w:rsid w:val="005E16C2"/>
    <w:rsid w:val="005E7BB1"/>
    <w:rsid w:val="00606A00"/>
    <w:rsid w:val="00673955"/>
    <w:rsid w:val="006776F5"/>
    <w:rsid w:val="00682D4D"/>
    <w:rsid w:val="00685941"/>
    <w:rsid w:val="006A75D3"/>
    <w:rsid w:val="006B0661"/>
    <w:rsid w:val="006B1EAF"/>
    <w:rsid w:val="006B6E3E"/>
    <w:rsid w:val="006C1284"/>
    <w:rsid w:val="006C1C46"/>
    <w:rsid w:val="006C5080"/>
    <w:rsid w:val="006C6571"/>
    <w:rsid w:val="006D0582"/>
    <w:rsid w:val="006D64E3"/>
    <w:rsid w:val="006E6A53"/>
    <w:rsid w:val="006F22F3"/>
    <w:rsid w:val="006F6A25"/>
    <w:rsid w:val="007018B9"/>
    <w:rsid w:val="00704437"/>
    <w:rsid w:val="00704932"/>
    <w:rsid w:val="00707328"/>
    <w:rsid w:val="00725E56"/>
    <w:rsid w:val="007300E9"/>
    <w:rsid w:val="007320D3"/>
    <w:rsid w:val="0073770B"/>
    <w:rsid w:val="00740CD7"/>
    <w:rsid w:val="00740F86"/>
    <w:rsid w:val="0074429C"/>
    <w:rsid w:val="0076211B"/>
    <w:rsid w:val="0077646F"/>
    <w:rsid w:val="00787922"/>
    <w:rsid w:val="00791729"/>
    <w:rsid w:val="007A7A48"/>
    <w:rsid w:val="007D12F6"/>
    <w:rsid w:val="007D7457"/>
    <w:rsid w:val="007E19BB"/>
    <w:rsid w:val="007E5480"/>
    <w:rsid w:val="007F4B28"/>
    <w:rsid w:val="00806DB0"/>
    <w:rsid w:val="008129C8"/>
    <w:rsid w:val="00840D7D"/>
    <w:rsid w:val="00844176"/>
    <w:rsid w:val="00850BE9"/>
    <w:rsid w:val="0085288C"/>
    <w:rsid w:val="008539F2"/>
    <w:rsid w:val="0086572E"/>
    <w:rsid w:val="00867F54"/>
    <w:rsid w:val="00874F21"/>
    <w:rsid w:val="00880120"/>
    <w:rsid w:val="00881846"/>
    <w:rsid w:val="00886D2B"/>
    <w:rsid w:val="00895767"/>
    <w:rsid w:val="008979EF"/>
    <w:rsid w:val="008B724A"/>
    <w:rsid w:val="008C40F2"/>
    <w:rsid w:val="008D074A"/>
    <w:rsid w:val="008F4863"/>
    <w:rsid w:val="00902071"/>
    <w:rsid w:val="00904BA6"/>
    <w:rsid w:val="0090711C"/>
    <w:rsid w:val="0091661B"/>
    <w:rsid w:val="00917CB6"/>
    <w:rsid w:val="00935072"/>
    <w:rsid w:val="009409CF"/>
    <w:rsid w:val="009474D7"/>
    <w:rsid w:val="00952750"/>
    <w:rsid w:val="00954717"/>
    <w:rsid w:val="00974C77"/>
    <w:rsid w:val="009A0557"/>
    <w:rsid w:val="009A584C"/>
    <w:rsid w:val="009B00AB"/>
    <w:rsid w:val="009B3E1E"/>
    <w:rsid w:val="009B437C"/>
    <w:rsid w:val="009C33F5"/>
    <w:rsid w:val="009C45AC"/>
    <w:rsid w:val="009C6CC7"/>
    <w:rsid w:val="009D24F3"/>
    <w:rsid w:val="009D40DA"/>
    <w:rsid w:val="009D61DC"/>
    <w:rsid w:val="009D773B"/>
    <w:rsid w:val="009E1CB4"/>
    <w:rsid w:val="009E4ADD"/>
    <w:rsid w:val="00A2481B"/>
    <w:rsid w:val="00A50EF2"/>
    <w:rsid w:val="00A57A50"/>
    <w:rsid w:val="00A61A53"/>
    <w:rsid w:val="00A942E9"/>
    <w:rsid w:val="00AA449C"/>
    <w:rsid w:val="00AB30C1"/>
    <w:rsid w:val="00AB37E1"/>
    <w:rsid w:val="00AB6291"/>
    <w:rsid w:val="00AD03D5"/>
    <w:rsid w:val="00AD6F09"/>
    <w:rsid w:val="00AF586E"/>
    <w:rsid w:val="00B02FE8"/>
    <w:rsid w:val="00B070E2"/>
    <w:rsid w:val="00B25F22"/>
    <w:rsid w:val="00B31818"/>
    <w:rsid w:val="00B36393"/>
    <w:rsid w:val="00B4484B"/>
    <w:rsid w:val="00B5307C"/>
    <w:rsid w:val="00B531CF"/>
    <w:rsid w:val="00B56577"/>
    <w:rsid w:val="00B61953"/>
    <w:rsid w:val="00B63E23"/>
    <w:rsid w:val="00B778C3"/>
    <w:rsid w:val="00B8626D"/>
    <w:rsid w:val="00BA0AE6"/>
    <w:rsid w:val="00BA4301"/>
    <w:rsid w:val="00BA6B5F"/>
    <w:rsid w:val="00BA7FCF"/>
    <w:rsid w:val="00BC4F47"/>
    <w:rsid w:val="00BD19AB"/>
    <w:rsid w:val="00BD6D72"/>
    <w:rsid w:val="00BD7696"/>
    <w:rsid w:val="00C30A4B"/>
    <w:rsid w:val="00C30F43"/>
    <w:rsid w:val="00C37819"/>
    <w:rsid w:val="00C37FF4"/>
    <w:rsid w:val="00C44B03"/>
    <w:rsid w:val="00C44F38"/>
    <w:rsid w:val="00C45FBD"/>
    <w:rsid w:val="00C4717C"/>
    <w:rsid w:val="00C473EC"/>
    <w:rsid w:val="00C501B8"/>
    <w:rsid w:val="00C57510"/>
    <w:rsid w:val="00C6095F"/>
    <w:rsid w:val="00C675EF"/>
    <w:rsid w:val="00C83028"/>
    <w:rsid w:val="00C908E6"/>
    <w:rsid w:val="00CC1807"/>
    <w:rsid w:val="00CE5AE6"/>
    <w:rsid w:val="00CE5F6C"/>
    <w:rsid w:val="00D05B78"/>
    <w:rsid w:val="00D067CC"/>
    <w:rsid w:val="00D13B11"/>
    <w:rsid w:val="00D3139E"/>
    <w:rsid w:val="00D33B60"/>
    <w:rsid w:val="00D34401"/>
    <w:rsid w:val="00D47DB0"/>
    <w:rsid w:val="00D56997"/>
    <w:rsid w:val="00D737A0"/>
    <w:rsid w:val="00D74344"/>
    <w:rsid w:val="00D969A7"/>
    <w:rsid w:val="00DB06A5"/>
    <w:rsid w:val="00DB0D01"/>
    <w:rsid w:val="00DB3D7A"/>
    <w:rsid w:val="00DB4244"/>
    <w:rsid w:val="00DB6BDC"/>
    <w:rsid w:val="00DC2986"/>
    <w:rsid w:val="00DC3FF8"/>
    <w:rsid w:val="00DC5A45"/>
    <w:rsid w:val="00DD3B59"/>
    <w:rsid w:val="00E00A0E"/>
    <w:rsid w:val="00E1051C"/>
    <w:rsid w:val="00E14665"/>
    <w:rsid w:val="00E23031"/>
    <w:rsid w:val="00E27325"/>
    <w:rsid w:val="00E36340"/>
    <w:rsid w:val="00E432A1"/>
    <w:rsid w:val="00E63694"/>
    <w:rsid w:val="00E6501A"/>
    <w:rsid w:val="00E70E9A"/>
    <w:rsid w:val="00E710EE"/>
    <w:rsid w:val="00E71EF1"/>
    <w:rsid w:val="00E72F98"/>
    <w:rsid w:val="00E81A32"/>
    <w:rsid w:val="00EA2DE7"/>
    <w:rsid w:val="00EA50A5"/>
    <w:rsid w:val="00EB4A25"/>
    <w:rsid w:val="00EC0E7F"/>
    <w:rsid w:val="00EE38C1"/>
    <w:rsid w:val="00EE6A55"/>
    <w:rsid w:val="00EE6EA0"/>
    <w:rsid w:val="00EF306A"/>
    <w:rsid w:val="00EF6717"/>
    <w:rsid w:val="00F172EE"/>
    <w:rsid w:val="00F26975"/>
    <w:rsid w:val="00F35125"/>
    <w:rsid w:val="00F514F2"/>
    <w:rsid w:val="00F67047"/>
    <w:rsid w:val="00F7131E"/>
    <w:rsid w:val="00F745DC"/>
    <w:rsid w:val="00FE200A"/>
    <w:rsid w:val="00FE3C4D"/>
    <w:rsid w:val="00FE5D02"/>
    <w:rsid w:val="00FF00A9"/>
    <w:rsid w:val="00FF4565"/>
    <w:rsid w:val="00FF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1E"/>
    <w:pPr>
      <w:ind w:left="720"/>
      <w:contextualSpacing/>
    </w:pPr>
  </w:style>
  <w:style w:type="paragraph" w:styleId="FootnoteText">
    <w:name w:val="footnote text"/>
    <w:basedOn w:val="Normal"/>
    <w:link w:val="FootnoteTextChar"/>
    <w:semiHidden/>
    <w:rsid w:val="002F6529"/>
    <w:rPr>
      <w:rFonts w:ascii="Times New Roman" w:hAnsi="Times New Roman"/>
      <w:sz w:val="20"/>
      <w:szCs w:val="20"/>
    </w:rPr>
  </w:style>
  <w:style w:type="character" w:customStyle="1" w:styleId="FootnoteTextChar">
    <w:name w:val="Footnote Text Char"/>
    <w:basedOn w:val="DefaultParagraphFont"/>
    <w:link w:val="FootnoteText"/>
    <w:semiHidden/>
    <w:rsid w:val="002F6529"/>
    <w:rPr>
      <w:rFonts w:ascii="Times New Roman" w:eastAsia="Calibri" w:hAnsi="Times New Roman" w:cs="Times New Roman"/>
      <w:sz w:val="20"/>
      <w:szCs w:val="20"/>
    </w:rPr>
  </w:style>
  <w:style w:type="character" w:styleId="FootnoteReference">
    <w:name w:val="footnote reference"/>
    <w:basedOn w:val="DefaultParagraphFont"/>
    <w:semiHidden/>
    <w:rsid w:val="002F6529"/>
    <w:rPr>
      <w:vertAlign w:val="superscript"/>
    </w:rPr>
  </w:style>
  <w:style w:type="paragraph" w:styleId="NoSpacing">
    <w:name w:val="No Spacing"/>
    <w:uiPriority w:val="1"/>
    <w:qFormat/>
    <w:rsid w:val="00095623"/>
    <w:rPr>
      <w:sz w:val="22"/>
      <w:szCs w:val="22"/>
    </w:rPr>
  </w:style>
  <w:style w:type="paragraph" w:styleId="PlainText">
    <w:name w:val="Plain Text"/>
    <w:basedOn w:val="Normal"/>
    <w:link w:val="PlainTextChar"/>
    <w:uiPriority w:val="99"/>
    <w:unhideWhenUsed/>
    <w:rsid w:val="00DC3FF8"/>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DC3FF8"/>
    <w:rPr>
      <w:rFonts w:ascii="Consolas" w:eastAsia="Times New Roman" w:hAnsi="Consolas"/>
      <w:sz w:val="21"/>
      <w:szCs w:val="21"/>
    </w:rPr>
  </w:style>
  <w:style w:type="paragraph" w:styleId="BalloonText">
    <w:name w:val="Balloon Text"/>
    <w:basedOn w:val="Normal"/>
    <w:link w:val="BalloonTextChar"/>
    <w:uiPriority w:val="99"/>
    <w:semiHidden/>
    <w:unhideWhenUsed/>
    <w:rsid w:val="000C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C9"/>
    <w:rPr>
      <w:rFonts w:ascii="Tahoma" w:hAnsi="Tahoma" w:cs="Tahoma"/>
      <w:sz w:val="16"/>
      <w:szCs w:val="16"/>
    </w:rPr>
  </w:style>
  <w:style w:type="paragraph" w:styleId="Header">
    <w:name w:val="header"/>
    <w:basedOn w:val="Normal"/>
    <w:link w:val="HeaderChar"/>
    <w:uiPriority w:val="99"/>
    <w:unhideWhenUsed/>
    <w:rsid w:val="00204ADC"/>
    <w:pPr>
      <w:tabs>
        <w:tab w:val="center" w:pos="4680"/>
        <w:tab w:val="right" w:pos="9360"/>
      </w:tabs>
    </w:pPr>
  </w:style>
  <w:style w:type="character" w:customStyle="1" w:styleId="HeaderChar">
    <w:name w:val="Header Char"/>
    <w:basedOn w:val="DefaultParagraphFont"/>
    <w:link w:val="Header"/>
    <w:uiPriority w:val="99"/>
    <w:rsid w:val="00204ADC"/>
    <w:rPr>
      <w:sz w:val="22"/>
      <w:szCs w:val="22"/>
    </w:rPr>
  </w:style>
  <w:style w:type="paragraph" w:styleId="Footer">
    <w:name w:val="footer"/>
    <w:basedOn w:val="Normal"/>
    <w:link w:val="FooterChar"/>
    <w:uiPriority w:val="99"/>
    <w:unhideWhenUsed/>
    <w:rsid w:val="00204ADC"/>
    <w:pPr>
      <w:tabs>
        <w:tab w:val="center" w:pos="4680"/>
        <w:tab w:val="right" w:pos="9360"/>
      </w:tabs>
    </w:pPr>
  </w:style>
  <w:style w:type="character" w:customStyle="1" w:styleId="FooterChar">
    <w:name w:val="Footer Char"/>
    <w:basedOn w:val="DefaultParagraphFont"/>
    <w:link w:val="Footer"/>
    <w:uiPriority w:val="99"/>
    <w:rsid w:val="00204ADC"/>
    <w:rPr>
      <w:sz w:val="22"/>
      <w:szCs w:val="22"/>
    </w:rPr>
  </w:style>
  <w:style w:type="character" w:styleId="CommentReference">
    <w:name w:val="annotation reference"/>
    <w:basedOn w:val="DefaultParagraphFont"/>
    <w:uiPriority w:val="99"/>
    <w:semiHidden/>
    <w:unhideWhenUsed/>
    <w:rsid w:val="008129C8"/>
    <w:rPr>
      <w:sz w:val="16"/>
      <w:szCs w:val="16"/>
    </w:rPr>
  </w:style>
  <w:style w:type="paragraph" w:styleId="CommentText">
    <w:name w:val="annotation text"/>
    <w:basedOn w:val="Normal"/>
    <w:link w:val="CommentTextChar"/>
    <w:uiPriority w:val="99"/>
    <w:semiHidden/>
    <w:unhideWhenUsed/>
    <w:rsid w:val="008129C8"/>
    <w:rPr>
      <w:sz w:val="20"/>
      <w:szCs w:val="20"/>
    </w:rPr>
  </w:style>
  <w:style w:type="character" w:customStyle="1" w:styleId="CommentTextChar">
    <w:name w:val="Comment Text Char"/>
    <w:basedOn w:val="DefaultParagraphFont"/>
    <w:link w:val="CommentText"/>
    <w:uiPriority w:val="99"/>
    <w:semiHidden/>
    <w:rsid w:val="008129C8"/>
  </w:style>
  <w:style w:type="paragraph" w:styleId="CommentSubject">
    <w:name w:val="annotation subject"/>
    <w:basedOn w:val="CommentText"/>
    <w:next w:val="CommentText"/>
    <w:link w:val="CommentSubjectChar"/>
    <w:uiPriority w:val="99"/>
    <w:semiHidden/>
    <w:unhideWhenUsed/>
    <w:rsid w:val="008129C8"/>
    <w:rPr>
      <w:b/>
      <w:bCs/>
    </w:rPr>
  </w:style>
  <w:style w:type="character" w:customStyle="1" w:styleId="CommentSubjectChar">
    <w:name w:val="Comment Subject Char"/>
    <w:basedOn w:val="CommentTextChar"/>
    <w:link w:val="CommentSubject"/>
    <w:uiPriority w:val="99"/>
    <w:semiHidden/>
    <w:rsid w:val="008129C8"/>
    <w:rPr>
      <w:b/>
      <w:bCs/>
    </w:rPr>
  </w:style>
  <w:style w:type="character" w:styleId="Hyperlink">
    <w:name w:val="Hyperlink"/>
    <w:basedOn w:val="DefaultParagraphFont"/>
    <w:uiPriority w:val="99"/>
    <w:unhideWhenUsed/>
    <w:rsid w:val="00E27325"/>
    <w:rPr>
      <w:color w:val="0000FF"/>
      <w:u w:val="single"/>
    </w:rPr>
  </w:style>
</w:styles>
</file>

<file path=word/webSettings.xml><?xml version="1.0" encoding="utf-8"?>
<w:webSettings xmlns:r="http://schemas.openxmlformats.org/officeDocument/2006/relationships" xmlns:w="http://schemas.openxmlformats.org/wordprocessingml/2006/main">
  <w:divs>
    <w:div w:id="487862968">
      <w:bodyDiv w:val="1"/>
      <w:marLeft w:val="0"/>
      <w:marRight w:val="0"/>
      <w:marTop w:val="0"/>
      <w:marBottom w:val="0"/>
      <w:divBdr>
        <w:top w:val="none" w:sz="0" w:space="0" w:color="auto"/>
        <w:left w:val="none" w:sz="0" w:space="0" w:color="auto"/>
        <w:bottom w:val="none" w:sz="0" w:space="0" w:color="auto"/>
        <w:right w:val="none" w:sz="0" w:space="0" w:color="auto"/>
      </w:divBdr>
    </w:div>
    <w:div w:id="508524183">
      <w:bodyDiv w:val="1"/>
      <w:marLeft w:val="0"/>
      <w:marRight w:val="0"/>
      <w:marTop w:val="0"/>
      <w:marBottom w:val="0"/>
      <w:divBdr>
        <w:top w:val="none" w:sz="0" w:space="0" w:color="auto"/>
        <w:left w:val="none" w:sz="0" w:space="0" w:color="auto"/>
        <w:bottom w:val="none" w:sz="0" w:space="0" w:color="auto"/>
        <w:right w:val="none" w:sz="0" w:space="0" w:color="auto"/>
      </w:divBdr>
    </w:div>
    <w:div w:id="1741781216">
      <w:bodyDiv w:val="1"/>
      <w:marLeft w:val="0"/>
      <w:marRight w:val="0"/>
      <w:marTop w:val="0"/>
      <w:marBottom w:val="0"/>
      <w:divBdr>
        <w:top w:val="none" w:sz="0" w:space="0" w:color="auto"/>
        <w:left w:val="none" w:sz="0" w:space="0" w:color="auto"/>
        <w:bottom w:val="none" w:sz="0" w:space="0" w:color="auto"/>
        <w:right w:val="none" w:sz="0" w:space="0" w:color="auto"/>
      </w:divBdr>
    </w:div>
    <w:div w:id="19390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ha.org/programs/standards/healthcompproject/corenontechnicalcompetencies.ht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ph.org/UserFiles/LeadershipGroupMembers8.pdf" TargetMode="External"/><Relationship Id="rId7" Type="http://schemas.openxmlformats.org/officeDocument/2006/relationships/endnotes" Target="endnotes.xml"/><Relationship Id="rId12" Type="http://schemas.openxmlformats.org/officeDocument/2006/relationships/hyperlink" Target="http://www.astdn.org/publication_quad_council_phn_competencies.htm" TargetMode="External"/><Relationship Id="rId17" Type="http://schemas.openxmlformats.org/officeDocument/2006/relationships/hyperlink" Target="https://www.amia.org/files/shared/PHI_Competenci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dta.aphsa.org/PDF/CompetencyGuides/Administrative_Support.pdf" TargetMode="External"/><Relationship Id="rId20" Type="http://schemas.openxmlformats.org/officeDocument/2006/relationships/hyperlink" Target="http://www.asph.org/document.cfm?page=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ining.fema.gov/IS/NIMS.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te.org/dnn/Portals/0/AppliedEpiCompwcover.pdf" TargetMode="External"/><Relationship Id="rId23" Type="http://schemas.openxmlformats.org/officeDocument/2006/relationships/header" Target="header2.xml"/><Relationship Id="rId10" Type="http://schemas.openxmlformats.org/officeDocument/2006/relationships/hyperlink" Target="http://www.asph.org/publication/MPH_Core_Competency_Model/index.html" TargetMode="External"/><Relationship Id="rId19" Type="http://schemas.openxmlformats.org/officeDocument/2006/relationships/hyperlink" Target="http://emergency.cdc.gov/cdcpreparedness/index.asp" TargetMode="External"/><Relationship Id="rId4" Type="http://schemas.openxmlformats.org/officeDocument/2006/relationships/settings" Target="settings.xml"/><Relationship Id="rId9" Type="http://schemas.openxmlformats.org/officeDocument/2006/relationships/hyperlink" Target="http://www.phf.org/link/CCs-example-free-ADOPTED.pdf" TargetMode="External"/><Relationship Id="rId14" Type="http://schemas.openxmlformats.org/officeDocument/2006/relationships/hyperlink" Target="http://www.publichealthlaw.net/Training/TrainingPDFs/PHLCompetencie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ph.org/document.cfm?page=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E05B-59AF-4BFA-BC40-648459A9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Association of Schools of Public Health</Company>
  <LinksUpToDate>false</LinksUpToDate>
  <CharactersWithSpaces>7630</CharactersWithSpaces>
  <SharedDoc>false</SharedDoc>
  <HLinks>
    <vt:vector size="60" baseType="variant">
      <vt:variant>
        <vt:i4>5439549</vt:i4>
      </vt:variant>
      <vt:variant>
        <vt:i4>24</vt:i4>
      </vt:variant>
      <vt:variant>
        <vt:i4>0</vt:i4>
      </vt:variant>
      <vt:variant>
        <vt:i4>5</vt:i4>
      </vt:variant>
      <vt:variant>
        <vt:lpwstr>https://www.amia.org/files/shared/PHI_Competencies.pdf</vt:lpwstr>
      </vt:variant>
      <vt:variant>
        <vt:lpwstr/>
      </vt:variant>
      <vt:variant>
        <vt:i4>7077894</vt:i4>
      </vt:variant>
      <vt:variant>
        <vt:i4>21</vt:i4>
      </vt:variant>
      <vt:variant>
        <vt:i4>0</vt:i4>
      </vt:variant>
      <vt:variant>
        <vt:i4>5</vt:i4>
      </vt:variant>
      <vt:variant>
        <vt:lpwstr>http://nsdta.aphsa.org/PDF/CompetencyGuides/Administrative_Support.pdf</vt:lpwstr>
      </vt:variant>
      <vt:variant>
        <vt:lpwstr/>
      </vt:variant>
      <vt:variant>
        <vt:i4>6422577</vt:i4>
      </vt:variant>
      <vt:variant>
        <vt:i4>18</vt:i4>
      </vt:variant>
      <vt:variant>
        <vt:i4>0</vt:i4>
      </vt:variant>
      <vt:variant>
        <vt:i4>5</vt:i4>
      </vt:variant>
      <vt:variant>
        <vt:lpwstr>http://www.cste.org/dnn/Portals/0/AppliedEpiCompwcover.pdf</vt:lpwstr>
      </vt:variant>
      <vt:variant>
        <vt:lpwstr/>
      </vt:variant>
      <vt:variant>
        <vt:i4>65629</vt:i4>
      </vt:variant>
      <vt:variant>
        <vt:i4>15</vt:i4>
      </vt:variant>
      <vt:variant>
        <vt:i4>0</vt:i4>
      </vt:variant>
      <vt:variant>
        <vt:i4>5</vt:i4>
      </vt:variant>
      <vt:variant>
        <vt:lpwstr>http://www.publichealthlaw.net/Training/TrainingPDFs/PHLCompetencies.pdf</vt:lpwstr>
      </vt:variant>
      <vt:variant>
        <vt:lpwstr/>
      </vt:variant>
      <vt:variant>
        <vt:i4>1703960</vt:i4>
      </vt:variant>
      <vt:variant>
        <vt:i4>12</vt:i4>
      </vt:variant>
      <vt:variant>
        <vt:i4>0</vt:i4>
      </vt:variant>
      <vt:variant>
        <vt:i4>5</vt:i4>
      </vt:variant>
      <vt:variant>
        <vt:lpwstr>http://www.apha.org/programs/standards/healthcompproject/corenontechnicalcompetencies.htm</vt:lpwstr>
      </vt:variant>
      <vt:variant>
        <vt:lpwstr/>
      </vt:variant>
      <vt:variant>
        <vt:i4>1048654</vt:i4>
      </vt:variant>
      <vt:variant>
        <vt:i4>9</vt:i4>
      </vt:variant>
      <vt:variant>
        <vt:i4>0</vt:i4>
      </vt:variant>
      <vt:variant>
        <vt:i4>5</vt:i4>
      </vt:variant>
      <vt:variant>
        <vt:lpwstr>http://www.astdn.org/publication_quad_council_phn_competencies.htm</vt:lpwstr>
      </vt:variant>
      <vt:variant>
        <vt:lpwstr/>
      </vt:variant>
      <vt:variant>
        <vt:i4>4718676</vt:i4>
      </vt:variant>
      <vt:variant>
        <vt:i4>6</vt:i4>
      </vt:variant>
      <vt:variant>
        <vt:i4>0</vt:i4>
      </vt:variant>
      <vt:variant>
        <vt:i4>5</vt:i4>
      </vt:variant>
      <vt:variant>
        <vt:lpwstr>http://training.fema.gov/IS/NIMS.asp</vt:lpwstr>
      </vt:variant>
      <vt:variant>
        <vt:lpwstr/>
      </vt:variant>
      <vt:variant>
        <vt:i4>524412</vt:i4>
      </vt:variant>
      <vt:variant>
        <vt:i4>3</vt:i4>
      </vt:variant>
      <vt:variant>
        <vt:i4>0</vt:i4>
      </vt:variant>
      <vt:variant>
        <vt:i4>5</vt:i4>
      </vt:variant>
      <vt:variant>
        <vt:lpwstr>http://www.asph.org/publication/MPH_Core_Competency_Model/index.html</vt:lpwstr>
      </vt:variant>
      <vt:variant>
        <vt:lpwstr/>
      </vt:variant>
      <vt:variant>
        <vt:i4>1900637</vt:i4>
      </vt:variant>
      <vt:variant>
        <vt:i4>0</vt:i4>
      </vt:variant>
      <vt:variant>
        <vt:i4>0</vt:i4>
      </vt:variant>
      <vt:variant>
        <vt:i4>5</vt:i4>
      </vt:variant>
      <vt:variant>
        <vt:lpwstr>http://www.phf.org/link/CCs-example-free-ADOPTED.pdf</vt:lpwstr>
      </vt:variant>
      <vt:variant>
        <vt:lpwstr/>
      </vt:variant>
      <vt:variant>
        <vt:i4>6750269</vt:i4>
      </vt:variant>
      <vt:variant>
        <vt:i4>0</vt:i4>
      </vt:variant>
      <vt:variant>
        <vt:i4>0</vt:i4>
      </vt:variant>
      <vt:variant>
        <vt:i4>5</vt:i4>
      </vt:variant>
      <vt:variant>
        <vt:lpwstr>http://www.asph.org/document.cfm?page=1081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cp:lastModifiedBy>atest99</cp:lastModifiedBy>
  <cp:revision>15</cp:revision>
  <cp:lastPrinted>2010-12-17T15:20:00Z</cp:lastPrinted>
  <dcterms:created xsi:type="dcterms:W3CDTF">2010-12-13T16:12:00Z</dcterms:created>
  <dcterms:modified xsi:type="dcterms:W3CDTF">2011-07-06T17:55:00Z</dcterms:modified>
</cp:coreProperties>
</file>